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C5F" w:rsidRDefault="00D15C5F">
      <w:pPr>
        <w:pStyle w:val="ConsPlusTitlePage"/>
      </w:pPr>
      <w:r>
        <w:t xml:space="preserve">Документ предоставлен </w:t>
      </w:r>
      <w:hyperlink r:id="rId5" w:history="1">
        <w:r>
          <w:rPr>
            <w:color w:val="0000FF"/>
          </w:rPr>
          <w:t>КонсультантПлюс</w:t>
        </w:r>
      </w:hyperlink>
      <w:r>
        <w:br/>
      </w:r>
    </w:p>
    <w:p w:rsidR="00D15C5F" w:rsidRDefault="00D15C5F">
      <w:pPr>
        <w:pStyle w:val="ConsPlusNormal"/>
        <w:jc w:val="both"/>
        <w:outlineLvl w:val="0"/>
      </w:pPr>
    </w:p>
    <w:p w:rsidR="00D15C5F" w:rsidRDefault="00D15C5F">
      <w:pPr>
        <w:pStyle w:val="ConsPlusTitle"/>
        <w:jc w:val="center"/>
        <w:outlineLvl w:val="0"/>
      </w:pPr>
      <w:r>
        <w:t>МИНИСТЕРСТВО ФИНАНСОВ РОССИЙСКОЙ ФЕДЕРАЦИИ</w:t>
      </w:r>
    </w:p>
    <w:p w:rsidR="00D15C5F" w:rsidRDefault="00D15C5F">
      <w:pPr>
        <w:pStyle w:val="ConsPlusTitle"/>
        <w:jc w:val="both"/>
      </w:pPr>
    </w:p>
    <w:p w:rsidR="00D15C5F" w:rsidRDefault="00D15C5F">
      <w:pPr>
        <w:pStyle w:val="ConsPlusTitle"/>
        <w:jc w:val="center"/>
      </w:pPr>
      <w:r>
        <w:t>ПРИКАЗ</w:t>
      </w:r>
    </w:p>
    <w:p w:rsidR="00D15C5F" w:rsidRDefault="00D15C5F">
      <w:pPr>
        <w:pStyle w:val="ConsPlusTitle"/>
        <w:jc w:val="center"/>
      </w:pPr>
      <w:r>
        <w:t>от 29 декабря 2017 г. N 1394</w:t>
      </w:r>
    </w:p>
    <w:p w:rsidR="00D15C5F" w:rsidRDefault="00D15C5F">
      <w:pPr>
        <w:pStyle w:val="ConsPlusTitle"/>
        <w:jc w:val="both"/>
      </w:pPr>
    </w:p>
    <w:p w:rsidR="00D15C5F" w:rsidRDefault="00D15C5F">
      <w:pPr>
        <w:pStyle w:val="ConsPlusTitle"/>
        <w:jc w:val="center"/>
      </w:pPr>
      <w:r>
        <w:t>О ВНЕСЕНИИ ИЗМЕНЕНИЙ</w:t>
      </w:r>
    </w:p>
    <w:p w:rsidR="00D15C5F" w:rsidRDefault="00D15C5F">
      <w:pPr>
        <w:pStyle w:val="ConsPlusTitle"/>
        <w:jc w:val="center"/>
      </w:pPr>
      <w:r>
        <w:t xml:space="preserve">В МЕТОДИЧЕСКИЕ РЕКОМЕНДАЦИИ ПО ОСУЩЕСТВЛЕНИЮ </w:t>
      </w:r>
      <w:proofErr w:type="gramStart"/>
      <w:r>
        <w:t>ВНУТРЕННЕГО</w:t>
      </w:r>
      <w:proofErr w:type="gramEnd"/>
    </w:p>
    <w:p w:rsidR="00D15C5F" w:rsidRDefault="00D15C5F">
      <w:pPr>
        <w:pStyle w:val="ConsPlusTitle"/>
        <w:jc w:val="center"/>
      </w:pPr>
      <w:r>
        <w:t>ФИНАНСОВОГО КОНТРОЛЯ, УТВЕРЖДЕННЫЕ ПРИКАЗОМ МИНИСТЕРСТВА</w:t>
      </w:r>
    </w:p>
    <w:p w:rsidR="00D15C5F" w:rsidRDefault="00D15C5F">
      <w:pPr>
        <w:pStyle w:val="ConsPlusTitle"/>
        <w:jc w:val="center"/>
      </w:pPr>
      <w:r>
        <w:t>ФИНАНСОВ РОССИЙСКОЙ ФЕДЕРАЦИИ ОТ 7 СЕНТЯБРЯ 2016 Г. N 356</w:t>
      </w:r>
    </w:p>
    <w:p w:rsidR="00D15C5F" w:rsidRDefault="00D15C5F">
      <w:pPr>
        <w:pStyle w:val="ConsPlusNormal"/>
        <w:jc w:val="both"/>
      </w:pPr>
    </w:p>
    <w:p w:rsidR="00D15C5F" w:rsidRDefault="00D15C5F">
      <w:pPr>
        <w:pStyle w:val="ConsPlusNormal"/>
        <w:ind w:firstLine="540"/>
        <w:jc w:val="both"/>
      </w:pPr>
      <w:proofErr w:type="gramStart"/>
      <w:r>
        <w:t xml:space="preserve">В соответствии с </w:t>
      </w:r>
      <w:hyperlink r:id="rId6" w:history="1">
        <w:r>
          <w:rPr>
            <w:color w:val="0000FF"/>
          </w:rPr>
          <w:t>абзацем сороковым статьи 165</w:t>
        </w:r>
      </w:hyperlink>
      <w:r>
        <w:t xml:space="preserve"> Бюджетного кодекса Российской Федерации (Собрание законодательства Российской Федерации, 1998, N 31, ст. 3823; 2007, N 18, ст. 2117; N 45, ст. 5424; 2010, N 19, ст. 2291; 2013, N 19, ст. 2331; N 52, ст. 6983; 2014, N 43, ст. 5795; 2016, N 27, ст. 4278;</w:t>
      </w:r>
      <w:proofErr w:type="gramEnd"/>
      <w:r>
        <w:t xml:space="preserve"> </w:t>
      </w:r>
      <w:proofErr w:type="gramStart"/>
      <w:r>
        <w:t>2017, N 14, ст. 2007; N 30, ст. 4458; N 31, ст. 4811; N 47, ст. 6841) и в целях совершенствования осуществления главными распорядителями (распорядителями) бюджетных средств, главными администраторами (администраторами) доходов бюджета, главными администраторами (администраторами) источников финансирования дефицита бюджета внутреннего финансового контроля приказываю:</w:t>
      </w:r>
      <w:proofErr w:type="gramEnd"/>
    </w:p>
    <w:p w:rsidR="00D15C5F" w:rsidRDefault="00D15C5F">
      <w:pPr>
        <w:pStyle w:val="ConsPlusNormal"/>
        <w:spacing w:before="220"/>
        <w:ind w:firstLine="540"/>
        <w:jc w:val="both"/>
      </w:pPr>
      <w:r>
        <w:t xml:space="preserve">внести в Методические </w:t>
      </w:r>
      <w:hyperlink r:id="rId7" w:history="1">
        <w:r>
          <w:rPr>
            <w:color w:val="0000FF"/>
          </w:rPr>
          <w:t>рекомендации</w:t>
        </w:r>
      </w:hyperlink>
      <w:r>
        <w:t xml:space="preserve"> по осуществлению внутреннего финансового контроля, утвержденные приказом Министерства финансов Российской Федерации от 7 сентября 2016 г. N 356, изменения согласно </w:t>
      </w:r>
      <w:hyperlink w:anchor="P26" w:history="1">
        <w:r>
          <w:rPr>
            <w:color w:val="0000FF"/>
          </w:rPr>
          <w:t>приложению</w:t>
        </w:r>
      </w:hyperlink>
      <w:r>
        <w:t xml:space="preserve"> к настоящему приказу.</w:t>
      </w:r>
    </w:p>
    <w:p w:rsidR="00D15C5F" w:rsidRDefault="00D15C5F">
      <w:pPr>
        <w:pStyle w:val="ConsPlusNormal"/>
        <w:jc w:val="both"/>
      </w:pPr>
    </w:p>
    <w:p w:rsidR="00D15C5F" w:rsidRDefault="00D15C5F">
      <w:pPr>
        <w:pStyle w:val="ConsPlusNormal"/>
        <w:jc w:val="right"/>
      </w:pPr>
      <w:r>
        <w:t>Министр</w:t>
      </w:r>
    </w:p>
    <w:p w:rsidR="00D15C5F" w:rsidRDefault="00D15C5F">
      <w:pPr>
        <w:pStyle w:val="ConsPlusNormal"/>
        <w:jc w:val="right"/>
      </w:pPr>
      <w:r>
        <w:t>А.Г.СИЛУАНОВ</w:t>
      </w:r>
    </w:p>
    <w:p w:rsidR="00D15C5F" w:rsidRDefault="00D15C5F">
      <w:pPr>
        <w:pStyle w:val="ConsPlusNormal"/>
        <w:jc w:val="both"/>
      </w:pPr>
    </w:p>
    <w:p w:rsidR="00D15C5F" w:rsidRDefault="00D15C5F">
      <w:pPr>
        <w:pStyle w:val="ConsPlusNormal"/>
        <w:jc w:val="both"/>
      </w:pPr>
    </w:p>
    <w:p w:rsidR="00D15C5F" w:rsidRDefault="00D15C5F">
      <w:pPr>
        <w:pStyle w:val="ConsPlusNormal"/>
        <w:jc w:val="both"/>
      </w:pPr>
    </w:p>
    <w:p w:rsidR="00D15C5F" w:rsidRDefault="00D15C5F">
      <w:pPr>
        <w:pStyle w:val="ConsPlusNormal"/>
        <w:jc w:val="both"/>
      </w:pPr>
    </w:p>
    <w:p w:rsidR="00D15C5F" w:rsidRDefault="00D15C5F">
      <w:pPr>
        <w:pStyle w:val="ConsPlusNormal"/>
        <w:jc w:val="both"/>
      </w:pPr>
    </w:p>
    <w:p w:rsidR="00D15C5F" w:rsidRDefault="00D15C5F">
      <w:pPr>
        <w:pStyle w:val="ConsPlusNormal"/>
        <w:jc w:val="right"/>
        <w:outlineLvl w:val="0"/>
      </w:pPr>
      <w:r>
        <w:t>Приложение</w:t>
      </w:r>
    </w:p>
    <w:p w:rsidR="00D15C5F" w:rsidRDefault="00D15C5F">
      <w:pPr>
        <w:pStyle w:val="ConsPlusNormal"/>
        <w:jc w:val="right"/>
      </w:pPr>
      <w:r>
        <w:t>к приказу Министерства финансов</w:t>
      </w:r>
    </w:p>
    <w:p w:rsidR="00D15C5F" w:rsidRDefault="00D15C5F">
      <w:pPr>
        <w:pStyle w:val="ConsPlusNormal"/>
        <w:jc w:val="right"/>
      </w:pPr>
      <w:r>
        <w:t>Российской Федерации</w:t>
      </w:r>
    </w:p>
    <w:p w:rsidR="00D15C5F" w:rsidRDefault="00D15C5F">
      <w:pPr>
        <w:pStyle w:val="ConsPlusNormal"/>
        <w:jc w:val="right"/>
      </w:pPr>
      <w:r>
        <w:t>от 29.12.2017 N 1394</w:t>
      </w:r>
    </w:p>
    <w:p w:rsidR="00D15C5F" w:rsidRDefault="00D15C5F">
      <w:pPr>
        <w:pStyle w:val="ConsPlusNormal"/>
        <w:jc w:val="both"/>
      </w:pPr>
    </w:p>
    <w:p w:rsidR="00D15C5F" w:rsidRDefault="00D15C5F">
      <w:pPr>
        <w:pStyle w:val="ConsPlusTitle"/>
        <w:jc w:val="center"/>
      </w:pPr>
      <w:bookmarkStart w:id="0" w:name="P26"/>
      <w:bookmarkEnd w:id="0"/>
      <w:r>
        <w:t>ИЗМЕНЕНИЯ,</w:t>
      </w:r>
    </w:p>
    <w:p w:rsidR="00D15C5F" w:rsidRDefault="00D15C5F">
      <w:pPr>
        <w:pStyle w:val="ConsPlusTitle"/>
        <w:jc w:val="center"/>
      </w:pPr>
      <w:proofErr w:type="gramStart"/>
      <w:r>
        <w:t>КОТОРЫЕ ВНОСЯТСЯ В МЕТОДИЧЕСКИЕ РЕКОМЕНДАЦИИ</w:t>
      </w:r>
      <w:proofErr w:type="gramEnd"/>
    </w:p>
    <w:p w:rsidR="00D15C5F" w:rsidRDefault="00D15C5F">
      <w:pPr>
        <w:pStyle w:val="ConsPlusTitle"/>
        <w:jc w:val="center"/>
      </w:pPr>
      <w:r>
        <w:t>ПО ОСУЩЕСТВЛЕНИЮ ВНУТРЕННЕГО ФИНАНСОВОГО КОНТРОЛЯ,</w:t>
      </w:r>
    </w:p>
    <w:p w:rsidR="00D15C5F" w:rsidRDefault="00D15C5F">
      <w:pPr>
        <w:pStyle w:val="ConsPlusTitle"/>
        <w:jc w:val="center"/>
      </w:pPr>
      <w:r>
        <w:t xml:space="preserve">УТВЕРЖДЕННЫЕ ПРИКАЗОМ МИНИСТЕРСТВА ФИНАНСОВ </w:t>
      </w:r>
      <w:proofErr w:type="gramStart"/>
      <w:r>
        <w:t>РОССИЙСКОЙ</w:t>
      </w:r>
      <w:proofErr w:type="gramEnd"/>
    </w:p>
    <w:p w:rsidR="00D15C5F" w:rsidRDefault="00D15C5F">
      <w:pPr>
        <w:pStyle w:val="ConsPlusTitle"/>
        <w:jc w:val="center"/>
      </w:pPr>
      <w:r>
        <w:t>ФЕДЕРАЦИИ ОТ 7 СЕНТЯБРЯ 2016 Г. N 356</w:t>
      </w:r>
    </w:p>
    <w:p w:rsidR="00D15C5F" w:rsidRDefault="00D15C5F">
      <w:pPr>
        <w:pStyle w:val="ConsPlusNormal"/>
        <w:jc w:val="both"/>
      </w:pPr>
    </w:p>
    <w:p w:rsidR="00D15C5F" w:rsidRDefault="00D15C5F">
      <w:pPr>
        <w:pStyle w:val="ConsPlusNormal"/>
        <w:ind w:firstLine="540"/>
        <w:jc w:val="both"/>
      </w:pPr>
      <w:r>
        <w:t xml:space="preserve">1. </w:t>
      </w:r>
      <w:hyperlink r:id="rId8" w:history="1">
        <w:r>
          <w:rPr>
            <w:color w:val="0000FF"/>
          </w:rPr>
          <w:t>Пункт 7</w:t>
        </w:r>
      </w:hyperlink>
      <w:r>
        <w:t xml:space="preserve"> изложить в следующей редакции:</w:t>
      </w:r>
    </w:p>
    <w:p w:rsidR="00D15C5F" w:rsidRDefault="00D15C5F">
      <w:pPr>
        <w:pStyle w:val="ConsPlusNormal"/>
        <w:spacing w:before="220"/>
        <w:ind w:firstLine="540"/>
        <w:jc w:val="both"/>
      </w:pPr>
      <w:r>
        <w:t>"7. Внутренний финансовый контроль осуществляется путем проведения контрольных действий, а также принятия мер по повышению качества выполнения внутренних бюджетных процедур, обеспечению достоверности бюджетной отчетности.</w:t>
      </w:r>
    </w:p>
    <w:p w:rsidR="00D15C5F" w:rsidRDefault="00D15C5F">
      <w:pPr>
        <w:pStyle w:val="ConsPlusNormal"/>
        <w:spacing w:before="220"/>
        <w:ind w:firstLine="540"/>
        <w:jc w:val="both"/>
      </w:pPr>
      <w:r>
        <w:t>К контрольным действиям относятся:</w:t>
      </w:r>
    </w:p>
    <w:p w:rsidR="00D15C5F" w:rsidRDefault="00D15C5F">
      <w:pPr>
        <w:pStyle w:val="ConsPlusNormal"/>
        <w:spacing w:before="220"/>
        <w:ind w:firstLine="540"/>
        <w:jc w:val="both"/>
      </w:pPr>
      <w:r>
        <w:t xml:space="preserve">проверка соответствия документов требованиям нормативных правовых актов, регулирующих бюджетные правоотношения и (или) обусловливающих публичные нормативные обязательства и правовые основания для иных расходных обязательств, а также требованиям </w:t>
      </w:r>
      <w:r>
        <w:lastRenderedPageBreak/>
        <w:t>внутренних стандартов и процедур;</w:t>
      </w:r>
    </w:p>
    <w:p w:rsidR="00D15C5F" w:rsidRDefault="00D15C5F">
      <w:pPr>
        <w:pStyle w:val="ConsPlusNormal"/>
        <w:spacing w:before="220"/>
        <w:ind w:firstLine="540"/>
        <w:jc w:val="both"/>
      </w:pPr>
      <w:r>
        <w:t>подтверждение (согласование) операций, подтверждающее правомочность их совершения, например, визирование документа вышестоящим должностным лицом;</w:t>
      </w:r>
    </w:p>
    <w:p w:rsidR="00D15C5F" w:rsidRDefault="00D15C5F">
      <w:pPr>
        <w:pStyle w:val="ConsPlusNormal"/>
        <w:spacing w:before="220"/>
        <w:ind w:firstLine="540"/>
        <w:jc w:val="both"/>
      </w:pPr>
      <w:r>
        <w:t>сверка данных, то есть сравнение данных из разных источников информации (например, сверка остатков по счетам бюджетного учета с данными первичных документов по расчетам с поставщиками и подрядчиками);</w:t>
      </w:r>
    </w:p>
    <w:p w:rsidR="00D15C5F" w:rsidRDefault="00D15C5F">
      <w:pPr>
        <w:pStyle w:val="ConsPlusNormal"/>
        <w:spacing w:before="220"/>
        <w:ind w:firstLine="540"/>
        <w:jc w:val="both"/>
      </w:pPr>
      <w:r>
        <w:t>сбор (запрос), анализ и оценка (мониторинг) информации о выполнении внутренних бюджетных процедур;</w:t>
      </w:r>
    </w:p>
    <w:p w:rsidR="00D15C5F" w:rsidRDefault="00D15C5F">
      <w:pPr>
        <w:pStyle w:val="ConsPlusNormal"/>
        <w:spacing w:before="220"/>
        <w:ind w:firstLine="540"/>
        <w:jc w:val="both"/>
      </w:pPr>
      <w:r>
        <w:t>иные контрольные действия</w:t>
      </w:r>
      <w:proofErr w:type="gramStart"/>
      <w:r>
        <w:t>.".</w:t>
      </w:r>
      <w:proofErr w:type="gramEnd"/>
    </w:p>
    <w:p w:rsidR="00D15C5F" w:rsidRDefault="00D15C5F">
      <w:pPr>
        <w:pStyle w:val="ConsPlusNormal"/>
        <w:spacing w:before="220"/>
        <w:ind w:firstLine="540"/>
        <w:jc w:val="both"/>
      </w:pPr>
      <w:r>
        <w:t xml:space="preserve">2. В </w:t>
      </w:r>
      <w:hyperlink r:id="rId9" w:history="1">
        <w:r>
          <w:rPr>
            <w:color w:val="0000FF"/>
          </w:rPr>
          <w:t>пункте 14</w:t>
        </w:r>
      </w:hyperlink>
      <w:r>
        <w:t xml:space="preserve"> слова "Российской Федерации" исключить.</w:t>
      </w:r>
    </w:p>
    <w:p w:rsidR="00D15C5F" w:rsidRDefault="00D15C5F">
      <w:pPr>
        <w:pStyle w:val="ConsPlusNormal"/>
        <w:spacing w:before="220"/>
        <w:ind w:firstLine="540"/>
        <w:jc w:val="both"/>
      </w:pPr>
      <w:r>
        <w:t xml:space="preserve">3. </w:t>
      </w:r>
      <w:hyperlink r:id="rId10" w:history="1">
        <w:r>
          <w:rPr>
            <w:color w:val="0000FF"/>
          </w:rPr>
          <w:t>Пункт 18</w:t>
        </w:r>
      </w:hyperlink>
      <w:r>
        <w:t xml:space="preserve"> дополнить абзацами следующего содержания:</w:t>
      </w:r>
    </w:p>
    <w:p w:rsidR="00D15C5F" w:rsidRDefault="00D15C5F">
      <w:pPr>
        <w:pStyle w:val="ConsPlusNormal"/>
        <w:spacing w:before="220"/>
        <w:ind w:firstLine="540"/>
        <w:jc w:val="both"/>
      </w:pPr>
      <w:r>
        <w:t>"совершенствование способов и сроков совершения операций (действий по формированию документов, необходимых для выполнения внутренних бюджетных процедур);</w:t>
      </w:r>
    </w:p>
    <w:p w:rsidR="00D15C5F" w:rsidRDefault="00D15C5F">
      <w:pPr>
        <w:pStyle w:val="ConsPlusNormal"/>
        <w:spacing w:before="220"/>
        <w:ind w:firstLine="540"/>
        <w:jc w:val="both"/>
      </w:pPr>
      <w:r>
        <w:t>проведение мониторинга изменений бюджетного законодательства и иных нормативных правовых актов, регулирующих бюджетные правоотношения, а также положений законов, иных нормативных правовых актов, обусловливающих публичные нормативные обязательства и (или) правовые основания для иных расходных обязательств;</w:t>
      </w:r>
    </w:p>
    <w:p w:rsidR="00D15C5F" w:rsidRDefault="00D15C5F">
      <w:pPr>
        <w:pStyle w:val="ConsPlusNormal"/>
        <w:spacing w:before="220"/>
        <w:ind w:firstLine="540"/>
        <w:jc w:val="both"/>
      </w:pPr>
      <w:r>
        <w:t>повышение квалификации должностных лиц, выполняющих внутренние бюджетные процедуры</w:t>
      </w:r>
      <w:proofErr w:type="gramStart"/>
      <w:r>
        <w:t>.".</w:t>
      </w:r>
      <w:proofErr w:type="gramEnd"/>
    </w:p>
    <w:p w:rsidR="00D15C5F" w:rsidRDefault="00D15C5F">
      <w:pPr>
        <w:pStyle w:val="ConsPlusNormal"/>
        <w:spacing w:before="220"/>
        <w:ind w:firstLine="540"/>
        <w:jc w:val="both"/>
      </w:pPr>
      <w:r>
        <w:t xml:space="preserve">4. </w:t>
      </w:r>
      <w:hyperlink r:id="rId11" w:history="1">
        <w:r>
          <w:rPr>
            <w:color w:val="0000FF"/>
          </w:rPr>
          <w:t>Пункт 25</w:t>
        </w:r>
      </w:hyperlink>
      <w:r>
        <w:t xml:space="preserve"> изложить в следующей редакции:</w:t>
      </w:r>
    </w:p>
    <w:p w:rsidR="00D15C5F" w:rsidRDefault="00D15C5F">
      <w:pPr>
        <w:pStyle w:val="ConsPlusNormal"/>
        <w:spacing w:before="220"/>
        <w:ind w:firstLine="540"/>
        <w:jc w:val="both"/>
      </w:pPr>
      <w:r>
        <w:t>"25. Процесс формирования (актуализация) карты внутреннего финансового контроля включает следующие этапы:</w:t>
      </w:r>
    </w:p>
    <w:p w:rsidR="00D15C5F" w:rsidRDefault="00D15C5F">
      <w:pPr>
        <w:pStyle w:val="ConsPlusNormal"/>
        <w:spacing w:before="220"/>
        <w:ind w:firstLine="540"/>
        <w:jc w:val="both"/>
      </w:pPr>
      <w:r>
        <w:t>а) анализ предмета внутреннего финансового контроля, в том числе на наличие имеющих коррупционные риски операций (действий по формированию документов, необходимых для выполнения внутренних бюджетных процедур) (далее - коррупционно-опасные операции), в целях определения применяемых к нему методов контроля и контрольных действий.</w:t>
      </w:r>
    </w:p>
    <w:p w:rsidR="00D15C5F" w:rsidRDefault="00D15C5F">
      <w:pPr>
        <w:pStyle w:val="ConsPlusNormal"/>
        <w:spacing w:before="220"/>
        <w:ind w:firstLine="540"/>
        <w:jc w:val="both"/>
      </w:pPr>
      <w:r>
        <w:t>К коррупционно-опасным операциям относятся операции (действия по формированию документов, необходимых для выполнения внутренних бюджетных процедур):</w:t>
      </w:r>
    </w:p>
    <w:p w:rsidR="00D15C5F" w:rsidRDefault="00D15C5F">
      <w:pPr>
        <w:pStyle w:val="ConsPlusNormal"/>
        <w:spacing w:before="220"/>
        <w:ind w:firstLine="540"/>
        <w:jc w:val="both"/>
      </w:pPr>
      <w:r>
        <w:t xml:space="preserve">при </w:t>
      </w:r>
      <w:proofErr w:type="gramStart"/>
      <w:r>
        <w:t>выполнении</w:t>
      </w:r>
      <w:proofErr w:type="gramEnd"/>
      <w:r>
        <w:t xml:space="preserve"> которых может возникнуть конфликт интересов и в отношении которых внутренний финансовый контроль осуществляют должностные лица, замещающие должности, включенные в перечень должностей, замещение которых связано с коррупционными рисками;</w:t>
      </w:r>
    </w:p>
    <w:p w:rsidR="00D15C5F" w:rsidRDefault="00D15C5F">
      <w:pPr>
        <w:pStyle w:val="ConsPlusNormal"/>
        <w:spacing w:before="220"/>
        <w:ind w:firstLine="540"/>
        <w:jc w:val="both"/>
      </w:pPr>
      <w:r>
        <w:t xml:space="preserve">внутренней бюджетной процедуры, определенной главным администратором (администратором) бюджетных средств в качестве коррупционно-опасной (при </w:t>
      </w:r>
      <w:proofErr w:type="gramStart"/>
      <w:r>
        <w:t>реализации</w:t>
      </w:r>
      <w:proofErr w:type="gramEnd"/>
      <w:r>
        <w:t xml:space="preserve"> которой наиболее вероятно возникновение конфликта интересов);</w:t>
      </w:r>
    </w:p>
    <w:p w:rsidR="00D15C5F" w:rsidRDefault="00D15C5F">
      <w:pPr>
        <w:pStyle w:val="ConsPlusNormal"/>
        <w:spacing w:before="220"/>
        <w:ind w:firstLine="540"/>
        <w:jc w:val="both"/>
      </w:pPr>
      <w:r>
        <w:t xml:space="preserve">в </w:t>
      </w:r>
      <w:proofErr w:type="gramStart"/>
      <w:r>
        <w:t>отношении</w:t>
      </w:r>
      <w:proofErr w:type="gramEnd"/>
      <w:r>
        <w:t xml:space="preserve"> которых имеется информация о признаках, свидетельствующих о коррупционных действиях или бездействии должностных лиц при их выполнении.</w:t>
      </w:r>
    </w:p>
    <w:p w:rsidR="00D15C5F" w:rsidRDefault="00D15C5F">
      <w:pPr>
        <w:pStyle w:val="ConsPlusNormal"/>
        <w:spacing w:before="220"/>
        <w:ind w:firstLine="540"/>
        <w:jc w:val="both"/>
      </w:pPr>
      <w:r>
        <w:t xml:space="preserve">В настоящих Методических рекомендациях под коррупционным риском понимается возможность злоупотребления должностными обязанностями в целях получения, как для должностных лиц, указанных в пункте 6 настоящих Методических рекомендаций, так и для третьих лиц выгоды в виде денег, ценностей, иного имущества или услуг имущественного </w:t>
      </w:r>
      <w:r>
        <w:lastRenderedPageBreak/>
        <w:t>характера, иных имущественных прав.</w:t>
      </w:r>
    </w:p>
    <w:p w:rsidR="00D15C5F" w:rsidRDefault="00D15C5F">
      <w:pPr>
        <w:pStyle w:val="ConsPlusNormal"/>
        <w:spacing w:before="220"/>
        <w:ind w:firstLine="540"/>
        <w:jc w:val="both"/>
      </w:pPr>
      <w:r>
        <w:t>б) формирование перечня операций (действий по формированию документов, необходимых для выполнения внутренней бюджетной процедуры) (далее - Перечень) с указанием отсутствия необходимости или необходимости проведения контрольных действий и способов их осуществления, определяемых по результатам оценки бюджетных рисков.</w:t>
      </w:r>
    </w:p>
    <w:p w:rsidR="00D15C5F" w:rsidRDefault="00D15C5F">
      <w:pPr>
        <w:pStyle w:val="ConsPlusNormal"/>
        <w:spacing w:before="220"/>
        <w:ind w:firstLine="540"/>
        <w:jc w:val="both"/>
      </w:pPr>
      <w:r>
        <w:t>Форма Перечня и рекомендации по его заполнению приведены в приложении N 1 к настоящим Методическим рекомендациям</w:t>
      </w:r>
      <w:proofErr w:type="gramStart"/>
      <w:r>
        <w:t>.".</w:t>
      </w:r>
      <w:proofErr w:type="gramEnd"/>
    </w:p>
    <w:p w:rsidR="00D15C5F" w:rsidRDefault="00D15C5F">
      <w:pPr>
        <w:pStyle w:val="ConsPlusNormal"/>
        <w:spacing w:before="220"/>
        <w:ind w:firstLine="540"/>
        <w:jc w:val="both"/>
      </w:pPr>
      <w:r>
        <w:t xml:space="preserve">5. </w:t>
      </w:r>
      <w:hyperlink r:id="rId12" w:history="1">
        <w:r>
          <w:rPr>
            <w:color w:val="0000FF"/>
          </w:rPr>
          <w:t>Пункт 30</w:t>
        </w:r>
      </w:hyperlink>
      <w:r>
        <w:t xml:space="preserve"> изложить в следующей редакции:</w:t>
      </w:r>
    </w:p>
    <w:p w:rsidR="00D15C5F" w:rsidRDefault="00D15C5F">
      <w:pPr>
        <w:pStyle w:val="ConsPlusNormal"/>
        <w:spacing w:before="220"/>
        <w:ind w:firstLine="540"/>
        <w:jc w:val="both"/>
      </w:pPr>
      <w:r>
        <w:t>"30. Оценка бюджетного риска осуществляется по двум критериям:</w:t>
      </w:r>
    </w:p>
    <w:p w:rsidR="00D15C5F" w:rsidRDefault="00D15C5F">
      <w:pPr>
        <w:pStyle w:val="ConsPlusNormal"/>
        <w:spacing w:before="220"/>
        <w:ind w:firstLine="540"/>
        <w:jc w:val="both"/>
      </w:pPr>
      <w:r>
        <w:t>"вероятность" - степень возможности наступления события, негативно влияющего на выполнение внутренней бюджетной процедуры;</w:t>
      </w:r>
    </w:p>
    <w:p w:rsidR="00D15C5F" w:rsidRDefault="00D15C5F">
      <w:pPr>
        <w:pStyle w:val="ConsPlusNormal"/>
        <w:spacing w:before="220"/>
        <w:ind w:firstLine="540"/>
        <w:jc w:val="both"/>
      </w:pPr>
      <w:proofErr w:type="gramStart"/>
      <w:r>
        <w:t>"степень влияния" - уровень негативного воздействия события на результат выполнения внутренней бюджетной процедуры, определяемый по величине отклонения от целевых значений показателей качества финансового менеджмента, характеризующих результаты выполнения внутренней бюджетной процедуры, величине причиненного ущерба публично-правовому образованию или величине искажения бюджетной отчетности и (или) величине отклонения от целевых значений показателей государственной (муниципальной) программы, а также по потере репутации главного администратора (администратора) бюджетных средств</w:t>
      </w:r>
      <w:proofErr w:type="gramEnd"/>
      <w:r>
        <w:t>, существенности налагаемых санкций за допущенное нарушение бюджетного законодательства, снижению результативности (экономности) использования бюджетных средств.</w:t>
      </w:r>
    </w:p>
    <w:p w:rsidR="00D15C5F" w:rsidRDefault="00D15C5F">
      <w:pPr>
        <w:pStyle w:val="ConsPlusNormal"/>
        <w:spacing w:before="220"/>
        <w:ind w:firstLine="540"/>
        <w:jc w:val="both"/>
      </w:pPr>
      <w:r>
        <w:t>Значение каждого из указанных критериев оценивается как "низкое", "среднее" или "высокое".</w:t>
      </w:r>
    </w:p>
    <w:p w:rsidR="00D15C5F" w:rsidRDefault="00D15C5F">
      <w:pPr>
        <w:pStyle w:val="ConsPlusNormal"/>
        <w:spacing w:before="220"/>
        <w:ind w:firstLine="540"/>
        <w:jc w:val="both"/>
      </w:pPr>
      <w:proofErr w:type="gramStart"/>
      <w:r>
        <w:t>Оценка значения критерия "вероятность" осуществляется с учетом результатов анализа имеющихся причин и условий (обстоятельств) реализации бюджетного риска, в том числе условий и обстоятельств, позволяющих злоупотреблять должностными обязанностями в целях получения, как для должностных лиц, указанных в пункте 6 настоящих Методических рекомендаций, так и для третьих лиц выгоды в виде денег, ценностей, иного имущества или услуг имущественного характера, иных имущественных прав.</w:t>
      </w:r>
      <w:proofErr w:type="gramEnd"/>
    </w:p>
    <w:p w:rsidR="00D15C5F" w:rsidRDefault="00D15C5F">
      <w:pPr>
        <w:pStyle w:val="ConsPlusNormal"/>
        <w:spacing w:before="220"/>
        <w:ind w:firstLine="540"/>
        <w:jc w:val="both"/>
      </w:pPr>
      <w:r>
        <w:t>Оценка значений критериев бюджетного риска осуществляется должностными лицами, ответственными за формирование карт внутреннего финансового контроля, с учетом:</w:t>
      </w:r>
    </w:p>
    <w:p w:rsidR="00D15C5F" w:rsidRDefault="00D15C5F">
      <w:pPr>
        <w:pStyle w:val="ConsPlusNormal"/>
        <w:spacing w:before="220"/>
        <w:ind w:firstLine="540"/>
        <w:jc w:val="both"/>
      </w:pPr>
      <w:r>
        <w:t>информации соответствующих структурных подразделений главного администратора (администратора) бюджетных средств о результатах внутреннего финансового контроля и внутреннего финансового аудита;</w:t>
      </w:r>
    </w:p>
    <w:p w:rsidR="00D15C5F" w:rsidRDefault="00D15C5F">
      <w:pPr>
        <w:pStyle w:val="ConsPlusNormal"/>
        <w:spacing w:before="220"/>
        <w:ind w:firstLine="540"/>
        <w:jc w:val="both"/>
      </w:pPr>
      <w:r>
        <w:t>информации о нарушениях, выявленных органами государственного (муниципального) финансового контроля;</w:t>
      </w:r>
    </w:p>
    <w:p w:rsidR="00D15C5F" w:rsidRDefault="00D15C5F">
      <w:pPr>
        <w:pStyle w:val="ConsPlusNormal"/>
        <w:spacing w:before="220"/>
        <w:ind w:firstLine="540"/>
        <w:jc w:val="both"/>
      </w:pPr>
      <w:r>
        <w:t>информации о возникновении коррупционных рисков при выполнении внутренних бюджетных процедур, в том числе о признаках, свидетельствующих о коррупционных действиях или бездействии должностных лиц.</w:t>
      </w:r>
    </w:p>
    <w:p w:rsidR="00D15C5F" w:rsidRDefault="00D15C5F">
      <w:pPr>
        <w:pStyle w:val="ConsPlusNormal"/>
        <w:spacing w:before="220"/>
        <w:ind w:firstLine="540"/>
        <w:jc w:val="both"/>
      </w:pPr>
      <w:r>
        <w:t>В настоящих Методических рекомендациях под нарушением понимается несоблюдение нормативных правовых актов, регулирующих бюджетные правоотношения и (или) обусловливающих публичные нормативные обязательства и правовые основания для иных расходных обязательств, а также требований внутренних стандартов и процедур.</w:t>
      </w:r>
    </w:p>
    <w:p w:rsidR="00D15C5F" w:rsidRDefault="00D15C5F">
      <w:pPr>
        <w:pStyle w:val="ConsPlusNormal"/>
        <w:spacing w:before="220"/>
        <w:ind w:firstLine="540"/>
        <w:jc w:val="both"/>
      </w:pPr>
      <w:r>
        <w:lastRenderedPageBreak/>
        <w:t>Бюджетный риск признается значимым, если значение хотя бы одного из критериев бюджетного риска оценивается как "высокое", либо при одновременной оценке значений обоих критериев бюджетного риска как "среднее".</w:t>
      </w:r>
    </w:p>
    <w:p w:rsidR="00D15C5F" w:rsidRDefault="00D15C5F">
      <w:pPr>
        <w:pStyle w:val="ConsPlusNormal"/>
        <w:spacing w:before="220"/>
        <w:ind w:firstLine="540"/>
        <w:jc w:val="both"/>
      </w:pPr>
      <w:r>
        <w:t>В карты внутреннего финансового контроля включаются операции (действия по формированию документов, необходимых для выполнения внутренней бюджетной процедуры) со значимыми бюджетными рисками</w:t>
      </w:r>
      <w:proofErr w:type="gramStart"/>
      <w:r>
        <w:t>.".</w:t>
      </w:r>
      <w:proofErr w:type="gramEnd"/>
    </w:p>
    <w:p w:rsidR="00D15C5F" w:rsidRDefault="00D15C5F">
      <w:pPr>
        <w:pStyle w:val="ConsPlusNormal"/>
        <w:spacing w:before="220"/>
        <w:ind w:firstLine="540"/>
        <w:jc w:val="both"/>
      </w:pPr>
      <w:r>
        <w:t xml:space="preserve">6. </w:t>
      </w:r>
      <w:hyperlink r:id="rId13" w:history="1">
        <w:r>
          <w:rPr>
            <w:color w:val="0000FF"/>
          </w:rPr>
          <w:t>Пункт 32</w:t>
        </w:r>
      </w:hyperlink>
      <w:r>
        <w:t xml:space="preserve"> признать утратившим силу.</w:t>
      </w:r>
    </w:p>
    <w:p w:rsidR="00D15C5F" w:rsidRDefault="00D15C5F">
      <w:pPr>
        <w:pStyle w:val="ConsPlusNormal"/>
        <w:spacing w:before="220"/>
        <w:ind w:firstLine="540"/>
        <w:jc w:val="both"/>
      </w:pPr>
      <w:r>
        <w:t xml:space="preserve">7. </w:t>
      </w:r>
      <w:hyperlink r:id="rId14" w:history="1">
        <w:r>
          <w:rPr>
            <w:color w:val="0000FF"/>
          </w:rPr>
          <w:t>Приложение N 5</w:t>
        </w:r>
      </w:hyperlink>
      <w:r>
        <w:t xml:space="preserve"> к Методическим рекомендациям по осуществлению внутреннего финансового контроля изложить в следующей редакции:</w:t>
      </w:r>
    </w:p>
    <w:p w:rsidR="00D15C5F" w:rsidRDefault="00D15C5F">
      <w:pPr>
        <w:pStyle w:val="ConsPlusNormal"/>
        <w:jc w:val="both"/>
      </w:pPr>
    </w:p>
    <w:p w:rsidR="00D15C5F" w:rsidRDefault="00D15C5F">
      <w:pPr>
        <w:pStyle w:val="ConsPlusNormal"/>
        <w:jc w:val="right"/>
      </w:pPr>
      <w:r>
        <w:t>"Приложение 5</w:t>
      </w:r>
    </w:p>
    <w:p w:rsidR="00D15C5F" w:rsidRDefault="00D15C5F">
      <w:pPr>
        <w:pStyle w:val="ConsPlusNormal"/>
        <w:jc w:val="right"/>
      </w:pPr>
      <w:r>
        <w:t>к Методическим рекомендациям</w:t>
      </w:r>
    </w:p>
    <w:p w:rsidR="00D15C5F" w:rsidRDefault="00D15C5F">
      <w:pPr>
        <w:pStyle w:val="ConsPlusNormal"/>
        <w:jc w:val="right"/>
      </w:pPr>
      <w:r>
        <w:t xml:space="preserve">по осуществлению </w:t>
      </w:r>
      <w:proofErr w:type="gramStart"/>
      <w:r>
        <w:t>внутреннего</w:t>
      </w:r>
      <w:proofErr w:type="gramEnd"/>
    </w:p>
    <w:p w:rsidR="00D15C5F" w:rsidRDefault="00D15C5F">
      <w:pPr>
        <w:pStyle w:val="ConsPlusNormal"/>
        <w:jc w:val="right"/>
      </w:pPr>
      <w:r>
        <w:t>финансового контроля</w:t>
      </w:r>
    </w:p>
    <w:p w:rsidR="00D15C5F" w:rsidRDefault="00D15C5F">
      <w:pPr>
        <w:pStyle w:val="ConsPlusNormal"/>
        <w:jc w:val="both"/>
      </w:pPr>
    </w:p>
    <w:p w:rsidR="00D15C5F" w:rsidRDefault="00D15C5F">
      <w:pPr>
        <w:pStyle w:val="ConsPlusNonformat"/>
        <w:jc w:val="both"/>
      </w:pPr>
      <w:r>
        <w:t xml:space="preserve">                                   ОТЧЕТ</w:t>
      </w:r>
    </w:p>
    <w:p w:rsidR="00D15C5F" w:rsidRDefault="00D15C5F">
      <w:pPr>
        <w:pStyle w:val="ConsPlusNonformat"/>
        <w:jc w:val="both"/>
      </w:pPr>
      <w:r>
        <w:t xml:space="preserve">               о результатах внутреннего финансового контроля</w:t>
      </w:r>
    </w:p>
    <w:p w:rsidR="00D15C5F" w:rsidRDefault="00D15C5F">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38"/>
        <w:gridCol w:w="4680"/>
        <w:gridCol w:w="1018"/>
        <w:gridCol w:w="881"/>
      </w:tblGrid>
      <w:tr w:rsidR="00D15C5F">
        <w:tc>
          <w:tcPr>
            <w:tcW w:w="7118" w:type="dxa"/>
            <w:gridSpan w:val="2"/>
            <w:tcBorders>
              <w:top w:val="nil"/>
              <w:left w:val="nil"/>
              <w:bottom w:val="nil"/>
              <w:right w:val="nil"/>
            </w:tcBorders>
          </w:tcPr>
          <w:p w:rsidR="00D15C5F" w:rsidRDefault="00D15C5F">
            <w:pPr>
              <w:pStyle w:val="ConsPlusNormal"/>
            </w:pPr>
          </w:p>
        </w:tc>
        <w:tc>
          <w:tcPr>
            <w:tcW w:w="1018" w:type="dxa"/>
            <w:tcBorders>
              <w:top w:val="nil"/>
              <w:left w:val="nil"/>
              <w:bottom w:val="nil"/>
              <w:right w:val="single" w:sz="4" w:space="0" w:color="auto"/>
            </w:tcBorders>
          </w:tcPr>
          <w:p w:rsidR="00D15C5F" w:rsidRDefault="00D15C5F">
            <w:pPr>
              <w:pStyle w:val="ConsPlusNormal"/>
            </w:pPr>
          </w:p>
        </w:tc>
        <w:tc>
          <w:tcPr>
            <w:tcW w:w="881" w:type="dxa"/>
            <w:tcBorders>
              <w:top w:val="single" w:sz="4" w:space="0" w:color="auto"/>
              <w:left w:val="single" w:sz="4" w:space="0" w:color="auto"/>
              <w:bottom w:val="single" w:sz="4" w:space="0" w:color="auto"/>
              <w:right w:val="single" w:sz="4" w:space="0" w:color="auto"/>
            </w:tcBorders>
          </w:tcPr>
          <w:p w:rsidR="00D15C5F" w:rsidRDefault="00D15C5F">
            <w:pPr>
              <w:pStyle w:val="ConsPlusNormal"/>
              <w:jc w:val="center"/>
            </w:pPr>
            <w:r>
              <w:t>Коды</w:t>
            </w:r>
          </w:p>
        </w:tc>
      </w:tr>
      <w:tr w:rsidR="00D15C5F">
        <w:tc>
          <w:tcPr>
            <w:tcW w:w="2438" w:type="dxa"/>
            <w:tcBorders>
              <w:top w:val="nil"/>
              <w:left w:val="nil"/>
              <w:bottom w:val="nil"/>
              <w:right w:val="nil"/>
            </w:tcBorders>
          </w:tcPr>
          <w:p w:rsidR="00D15C5F" w:rsidRDefault="00D15C5F">
            <w:pPr>
              <w:pStyle w:val="ConsPlusNormal"/>
            </w:pPr>
          </w:p>
        </w:tc>
        <w:tc>
          <w:tcPr>
            <w:tcW w:w="4680" w:type="dxa"/>
            <w:tcBorders>
              <w:top w:val="nil"/>
              <w:left w:val="nil"/>
              <w:bottom w:val="nil"/>
              <w:right w:val="nil"/>
            </w:tcBorders>
          </w:tcPr>
          <w:p w:rsidR="00D15C5F" w:rsidRDefault="00D15C5F">
            <w:pPr>
              <w:pStyle w:val="ConsPlusNormal"/>
              <w:jc w:val="center"/>
            </w:pPr>
            <w:r>
              <w:t>по состоянию на "__" __________ 20__ года</w:t>
            </w:r>
          </w:p>
        </w:tc>
        <w:tc>
          <w:tcPr>
            <w:tcW w:w="1018" w:type="dxa"/>
            <w:tcBorders>
              <w:top w:val="nil"/>
              <w:left w:val="nil"/>
              <w:bottom w:val="nil"/>
              <w:right w:val="single" w:sz="4" w:space="0" w:color="auto"/>
            </w:tcBorders>
          </w:tcPr>
          <w:p w:rsidR="00D15C5F" w:rsidRDefault="00D15C5F">
            <w:pPr>
              <w:pStyle w:val="ConsPlusNormal"/>
              <w:jc w:val="right"/>
            </w:pPr>
            <w:r>
              <w:t>Дата</w:t>
            </w:r>
          </w:p>
        </w:tc>
        <w:tc>
          <w:tcPr>
            <w:tcW w:w="881" w:type="dxa"/>
            <w:tcBorders>
              <w:top w:val="single" w:sz="4" w:space="0" w:color="auto"/>
              <w:left w:val="single" w:sz="4" w:space="0" w:color="auto"/>
              <w:bottom w:val="single" w:sz="4" w:space="0" w:color="auto"/>
              <w:right w:val="single" w:sz="4" w:space="0" w:color="auto"/>
            </w:tcBorders>
          </w:tcPr>
          <w:p w:rsidR="00D15C5F" w:rsidRDefault="00D15C5F">
            <w:pPr>
              <w:pStyle w:val="ConsPlusNormal"/>
            </w:pPr>
          </w:p>
        </w:tc>
      </w:tr>
      <w:tr w:rsidR="00D15C5F">
        <w:tc>
          <w:tcPr>
            <w:tcW w:w="2438" w:type="dxa"/>
            <w:tcBorders>
              <w:top w:val="nil"/>
              <w:left w:val="nil"/>
              <w:bottom w:val="nil"/>
              <w:right w:val="nil"/>
            </w:tcBorders>
            <w:vAlign w:val="bottom"/>
          </w:tcPr>
          <w:p w:rsidR="00D15C5F" w:rsidRDefault="00D15C5F">
            <w:pPr>
              <w:pStyle w:val="ConsPlusNormal"/>
            </w:pPr>
            <w:r>
              <w:t>Наименование главного администратора бюджетных средств</w:t>
            </w:r>
          </w:p>
        </w:tc>
        <w:tc>
          <w:tcPr>
            <w:tcW w:w="4680" w:type="dxa"/>
            <w:tcBorders>
              <w:top w:val="nil"/>
              <w:left w:val="nil"/>
              <w:bottom w:val="nil"/>
              <w:right w:val="nil"/>
            </w:tcBorders>
            <w:vAlign w:val="bottom"/>
          </w:tcPr>
          <w:p w:rsidR="00D15C5F" w:rsidRDefault="00D15C5F">
            <w:pPr>
              <w:pStyle w:val="ConsPlusNormal"/>
            </w:pPr>
            <w:r>
              <w:t>_____________________________________</w:t>
            </w:r>
          </w:p>
        </w:tc>
        <w:tc>
          <w:tcPr>
            <w:tcW w:w="1018" w:type="dxa"/>
            <w:tcBorders>
              <w:top w:val="nil"/>
              <w:left w:val="nil"/>
              <w:bottom w:val="nil"/>
              <w:right w:val="single" w:sz="4" w:space="0" w:color="auto"/>
            </w:tcBorders>
            <w:vAlign w:val="bottom"/>
          </w:tcPr>
          <w:p w:rsidR="00D15C5F" w:rsidRDefault="00D15C5F">
            <w:pPr>
              <w:pStyle w:val="ConsPlusNormal"/>
              <w:jc w:val="right"/>
            </w:pPr>
            <w:r>
              <w:t>Глава по БК</w:t>
            </w:r>
          </w:p>
        </w:tc>
        <w:tc>
          <w:tcPr>
            <w:tcW w:w="881" w:type="dxa"/>
            <w:tcBorders>
              <w:top w:val="single" w:sz="4" w:space="0" w:color="auto"/>
              <w:left w:val="single" w:sz="4" w:space="0" w:color="auto"/>
              <w:bottom w:val="single" w:sz="4" w:space="0" w:color="auto"/>
              <w:right w:val="single" w:sz="4" w:space="0" w:color="auto"/>
            </w:tcBorders>
          </w:tcPr>
          <w:p w:rsidR="00D15C5F" w:rsidRDefault="00D15C5F">
            <w:pPr>
              <w:pStyle w:val="ConsPlusNormal"/>
            </w:pPr>
          </w:p>
        </w:tc>
      </w:tr>
      <w:tr w:rsidR="00D15C5F">
        <w:tc>
          <w:tcPr>
            <w:tcW w:w="2438" w:type="dxa"/>
            <w:tcBorders>
              <w:top w:val="nil"/>
              <w:left w:val="nil"/>
              <w:bottom w:val="nil"/>
              <w:right w:val="nil"/>
            </w:tcBorders>
            <w:vAlign w:val="bottom"/>
          </w:tcPr>
          <w:p w:rsidR="00D15C5F" w:rsidRDefault="00D15C5F">
            <w:pPr>
              <w:pStyle w:val="ConsPlusNormal"/>
            </w:pPr>
            <w:r>
              <w:t>Наименование бюджета</w:t>
            </w:r>
          </w:p>
        </w:tc>
        <w:tc>
          <w:tcPr>
            <w:tcW w:w="4680" w:type="dxa"/>
            <w:tcBorders>
              <w:top w:val="nil"/>
              <w:left w:val="nil"/>
              <w:bottom w:val="nil"/>
              <w:right w:val="nil"/>
            </w:tcBorders>
            <w:vAlign w:val="bottom"/>
          </w:tcPr>
          <w:p w:rsidR="00D15C5F" w:rsidRDefault="00D15C5F">
            <w:pPr>
              <w:pStyle w:val="ConsPlusNormal"/>
            </w:pPr>
            <w:r>
              <w:t>_____________________________________</w:t>
            </w:r>
          </w:p>
        </w:tc>
        <w:tc>
          <w:tcPr>
            <w:tcW w:w="1018" w:type="dxa"/>
            <w:tcBorders>
              <w:top w:val="nil"/>
              <w:left w:val="nil"/>
              <w:bottom w:val="nil"/>
              <w:right w:val="single" w:sz="4" w:space="0" w:color="auto"/>
            </w:tcBorders>
            <w:vAlign w:val="bottom"/>
          </w:tcPr>
          <w:p w:rsidR="00D15C5F" w:rsidRDefault="00D15C5F">
            <w:pPr>
              <w:pStyle w:val="ConsPlusNormal"/>
              <w:jc w:val="right"/>
            </w:pPr>
            <w:r>
              <w:t xml:space="preserve">по </w:t>
            </w:r>
            <w:hyperlink r:id="rId15" w:history="1">
              <w:r>
                <w:rPr>
                  <w:color w:val="0000FF"/>
                </w:rPr>
                <w:t>ОКТМО</w:t>
              </w:r>
            </w:hyperlink>
          </w:p>
        </w:tc>
        <w:tc>
          <w:tcPr>
            <w:tcW w:w="881" w:type="dxa"/>
            <w:tcBorders>
              <w:top w:val="single" w:sz="4" w:space="0" w:color="auto"/>
              <w:left w:val="single" w:sz="4" w:space="0" w:color="auto"/>
              <w:bottom w:val="single" w:sz="4" w:space="0" w:color="auto"/>
              <w:right w:val="single" w:sz="4" w:space="0" w:color="auto"/>
            </w:tcBorders>
          </w:tcPr>
          <w:p w:rsidR="00D15C5F" w:rsidRDefault="00D15C5F">
            <w:pPr>
              <w:pStyle w:val="ConsPlusNormal"/>
            </w:pPr>
          </w:p>
        </w:tc>
      </w:tr>
      <w:tr w:rsidR="00D15C5F">
        <w:tc>
          <w:tcPr>
            <w:tcW w:w="2438" w:type="dxa"/>
            <w:tcBorders>
              <w:top w:val="nil"/>
              <w:left w:val="nil"/>
              <w:bottom w:val="nil"/>
              <w:right w:val="nil"/>
            </w:tcBorders>
            <w:vAlign w:val="bottom"/>
          </w:tcPr>
          <w:p w:rsidR="00D15C5F" w:rsidRDefault="00D15C5F">
            <w:pPr>
              <w:pStyle w:val="ConsPlusNormal"/>
            </w:pPr>
            <w:r>
              <w:t>Периодичность: квартальная, годовая</w:t>
            </w:r>
          </w:p>
        </w:tc>
        <w:tc>
          <w:tcPr>
            <w:tcW w:w="4680" w:type="dxa"/>
            <w:tcBorders>
              <w:top w:val="nil"/>
              <w:left w:val="nil"/>
              <w:bottom w:val="nil"/>
              <w:right w:val="nil"/>
            </w:tcBorders>
            <w:vAlign w:val="bottom"/>
          </w:tcPr>
          <w:p w:rsidR="00D15C5F" w:rsidRDefault="00D15C5F">
            <w:pPr>
              <w:pStyle w:val="ConsPlusNormal"/>
            </w:pPr>
          </w:p>
        </w:tc>
        <w:tc>
          <w:tcPr>
            <w:tcW w:w="1018" w:type="dxa"/>
            <w:tcBorders>
              <w:top w:val="nil"/>
              <w:left w:val="nil"/>
              <w:bottom w:val="nil"/>
              <w:right w:val="single" w:sz="4" w:space="0" w:color="auto"/>
            </w:tcBorders>
            <w:vAlign w:val="bottom"/>
          </w:tcPr>
          <w:p w:rsidR="00D15C5F" w:rsidRDefault="00D15C5F">
            <w:pPr>
              <w:pStyle w:val="ConsPlusNormal"/>
            </w:pPr>
          </w:p>
        </w:tc>
        <w:tc>
          <w:tcPr>
            <w:tcW w:w="881" w:type="dxa"/>
            <w:tcBorders>
              <w:top w:val="single" w:sz="4" w:space="0" w:color="auto"/>
              <w:left w:val="single" w:sz="4" w:space="0" w:color="auto"/>
              <w:bottom w:val="single" w:sz="4" w:space="0" w:color="auto"/>
              <w:right w:val="single" w:sz="4" w:space="0" w:color="auto"/>
            </w:tcBorders>
          </w:tcPr>
          <w:p w:rsidR="00D15C5F" w:rsidRDefault="00D15C5F">
            <w:pPr>
              <w:pStyle w:val="ConsPlusNormal"/>
            </w:pPr>
          </w:p>
        </w:tc>
      </w:tr>
    </w:tbl>
    <w:p w:rsidR="00D15C5F" w:rsidRDefault="00D15C5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1871"/>
        <w:gridCol w:w="3175"/>
        <w:gridCol w:w="1984"/>
      </w:tblGrid>
      <w:tr w:rsidR="00D15C5F">
        <w:tc>
          <w:tcPr>
            <w:tcW w:w="1984" w:type="dxa"/>
          </w:tcPr>
          <w:p w:rsidR="00D15C5F" w:rsidRDefault="00D15C5F">
            <w:pPr>
              <w:pStyle w:val="ConsPlusNormal"/>
              <w:jc w:val="center"/>
            </w:pPr>
            <w:r>
              <w:t>Методы контроля</w:t>
            </w:r>
          </w:p>
        </w:tc>
        <w:tc>
          <w:tcPr>
            <w:tcW w:w="1871" w:type="dxa"/>
          </w:tcPr>
          <w:p w:rsidR="00D15C5F" w:rsidRDefault="00D15C5F">
            <w:pPr>
              <w:pStyle w:val="ConsPlusNormal"/>
              <w:jc w:val="center"/>
            </w:pPr>
            <w:r>
              <w:t>Количество выявленных недостатков (нарушений)</w:t>
            </w:r>
          </w:p>
        </w:tc>
        <w:tc>
          <w:tcPr>
            <w:tcW w:w="3175" w:type="dxa"/>
          </w:tcPr>
          <w:p w:rsidR="00D15C5F" w:rsidRDefault="00D15C5F">
            <w:pPr>
              <w:pStyle w:val="ConsPlusNormal"/>
              <w:jc w:val="center"/>
            </w:pPr>
            <w:r>
              <w:t>Количество предложенных мер по устранению недостатков (нарушений), причин их возникновения, заключений</w:t>
            </w:r>
          </w:p>
        </w:tc>
        <w:tc>
          <w:tcPr>
            <w:tcW w:w="1984" w:type="dxa"/>
          </w:tcPr>
          <w:p w:rsidR="00D15C5F" w:rsidRDefault="00D15C5F">
            <w:pPr>
              <w:pStyle w:val="ConsPlusNormal"/>
              <w:jc w:val="center"/>
            </w:pPr>
            <w:r>
              <w:t>Количество принятых мер</w:t>
            </w:r>
            <w:proofErr w:type="gramStart"/>
            <w:r>
              <w:t>.</w:t>
            </w:r>
            <w:proofErr w:type="gramEnd"/>
            <w:r>
              <w:t xml:space="preserve"> </w:t>
            </w:r>
            <w:proofErr w:type="gramStart"/>
            <w:r>
              <w:t>и</w:t>
            </w:r>
            <w:proofErr w:type="gramEnd"/>
            <w:r>
              <w:t>сполненных заключений</w:t>
            </w:r>
          </w:p>
        </w:tc>
      </w:tr>
      <w:tr w:rsidR="00D15C5F">
        <w:tc>
          <w:tcPr>
            <w:tcW w:w="1984" w:type="dxa"/>
          </w:tcPr>
          <w:p w:rsidR="00D15C5F" w:rsidRDefault="00D15C5F">
            <w:pPr>
              <w:pStyle w:val="ConsPlusNormal"/>
              <w:jc w:val="center"/>
            </w:pPr>
            <w:r>
              <w:t>1</w:t>
            </w:r>
          </w:p>
        </w:tc>
        <w:tc>
          <w:tcPr>
            <w:tcW w:w="1871" w:type="dxa"/>
          </w:tcPr>
          <w:p w:rsidR="00D15C5F" w:rsidRDefault="00D15C5F">
            <w:pPr>
              <w:pStyle w:val="ConsPlusNormal"/>
              <w:jc w:val="center"/>
            </w:pPr>
            <w:r>
              <w:t>2</w:t>
            </w:r>
          </w:p>
        </w:tc>
        <w:tc>
          <w:tcPr>
            <w:tcW w:w="3175" w:type="dxa"/>
          </w:tcPr>
          <w:p w:rsidR="00D15C5F" w:rsidRDefault="00D15C5F">
            <w:pPr>
              <w:pStyle w:val="ConsPlusNormal"/>
              <w:jc w:val="center"/>
            </w:pPr>
            <w:r>
              <w:t>3</w:t>
            </w:r>
          </w:p>
        </w:tc>
        <w:tc>
          <w:tcPr>
            <w:tcW w:w="1984" w:type="dxa"/>
          </w:tcPr>
          <w:p w:rsidR="00D15C5F" w:rsidRDefault="00D15C5F">
            <w:pPr>
              <w:pStyle w:val="ConsPlusNormal"/>
              <w:jc w:val="center"/>
            </w:pPr>
            <w:r>
              <w:t>4</w:t>
            </w:r>
          </w:p>
        </w:tc>
      </w:tr>
      <w:tr w:rsidR="00D15C5F">
        <w:tblPrEx>
          <w:tblBorders>
            <w:left w:val="none" w:sz="0" w:space="0" w:color="auto"/>
          </w:tblBorders>
        </w:tblPrEx>
        <w:tc>
          <w:tcPr>
            <w:tcW w:w="1984" w:type="dxa"/>
            <w:tcBorders>
              <w:left w:val="nil"/>
            </w:tcBorders>
          </w:tcPr>
          <w:p w:rsidR="00D15C5F" w:rsidRDefault="00D15C5F">
            <w:pPr>
              <w:pStyle w:val="ConsPlusNormal"/>
            </w:pPr>
            <w:r>
              <w:t>1. Самоконтроль</w:t>
            </w:r>
          </w:p>
        </w:tc>
        <w:tc>
          <w:tcPr>
            <w:tcW w:w="1871" w:type="dxa"/>
          </w:tcPr>
          <w:p w:rsidR="00D15C5F" w:rsidRDefault="00D15C5F">
            <w:pPr>
              <w:pStyle w:val="ConsPlusNormal"/>
            </w:pPr>
          </w:p>
        </w:tc>
        <w:tc>
          <w:tcPr>
            <w:tcW w:w="3175" w:type="dxa"/>
          </w:tcPr>
          <w:p w:rsidR="00D15C5F" w:rsidRDefault="00D15C5F">
            <w:pPr>
              <w:pStyle w:val="ConsPlusNormal"/>
            </w:pPr>
          </w:p>
        </w:tc>
        <w:tc>
          <w:tcPr>
            <w:tcW w:w="1984" w:type="dxa"/>
          </w:tcPr>
          <w:p w:rsidR="00D15C5F" w:rsidRDefault="00D15C5F">
            <w:pPr>
              <w:pStyle w:val="ConsPlusNormal"/>
            </w:pPr>
          </w:p>
        </w:tc>
      </w:tr>
      <w:tr w:rsidR="00D15C5F">
        <w:tblPrEx>
          <w:tblBorders>
            <w:left w:val="none" w:sz="0" w:space="0" w:color="auto"/>
          </w:tblBorders>
        </w:tblPrEx>
        <w:tc>
          <w:tcPr>
            <w:tcW w:w="1984" w:type="dxa"/>
            <w:tcBorders>
              <w:left w:val="nil"/>
            </w:tcBorders>
          </w:tcPr>
          <w:p w:rsidR="00D15C5F" w:rsidRDefault="00D15C5F">
            <w:pPr>
              <w:pStyle w:val="ConsPlusNormal"/>
            </w:pPr>
            <w:r>
              <w:t>2. Смежный контроль</w:t>
            </w:r>
          </w:p>
        </w:tc>
        <w:tc>
          <w:tcPr>
            <w:tcW w:w="1871" w:type="dxa"/>
          </w:tcPr>
          <w:p w:rsidR="00D15C5F" w:rsidRDefault="00D15C5F">
            <w:pPr>
              <w:pStyle w:val="ConsPlusNormal"/>
            </w:pPr>
          </w:p>
        </w:tc>
        <w:tc>
          <w:tcPr>
            <w:tcW w:w="3175" w:type="dxa"/>
          </w:tcPr>
          <w:p w:rsidR="00D15C5F" w:rsidRDefault="00D15C5F">
            <w:pPr>
              <w:pStyle w:val="ConsPlusNormal"/>
            </w:pPr>
          </w:p>
        </w:tc>
        <w:tc>
          <w:tcPr>
            <w:tcW w:w="1984" w:type="dxa"/>
          </w:tcPr>
          <w:p w:rsidR="00D15C5F" w:rsidRDefault="00D15C5F">
            <w:pPr>
              <w:pStyle w:val="ConsPlusNormal"/>
            </w:pPr>
          </w:p>
        </w:tc>
      </w:tr>
      <w:tr w:rsidR="00D15C5F">
        <w:tblPrEx>
          <w:tblBorders>
            <w:left w:val="none" w:sz="0" w:space="0" w:color="auto"/>
          </w:tblBorders>
        </w:tblPrEx>
        <w:tc>
          <w:tcPr>
            <w:tcW w:w="1984" w:type="dxa"/>
            <w:tcBorders>
              <w:left w:val="nil"/>
            </w:tcBorders>
          </w:tcPr>
          <w:p w:rsidR="00D15C5F" w:rsidRDefault="00D15C5F">
            <w:pPr>
              <w:pStyle w:val="ConsPlusNormal"/>
            </w:pPr>
            <w:r>
              <w:t>3. Контроль по подчиненности</w:t>
            </w:r>
          </w:p>
        </w:tc>
        <w:tc>
          <w:tcPr>
            <w:tcW w:w="1871" w:type="dxa"/>
          </w:tcPr>
          <w:p w:rsidR="00D15C5F" w:rsidRDefault="00D15C5F">
            <w:pPr>
              <w:pStyle w:val="ConsPlusNormal"/>
            </w:pPr>
          </w:p>
        </w:tc>
        <w:tc>
          <w:tcPr>
            <w:tcW w:w="3175" w:type="dxa"/>
          </w:tcPr>
          <w:p w:rsidR="00D15C5F" w:rsidRDefault="00D15C5F">
            <w:pPr>
              <w:pStyle w:val="ConsPlusNormal"/>
            </w:pPr>
          </w:p>
        </w:tc>
        <w:tc>
          <w:tcPr>
            <w:tcW w:w="1984" w:type="dxa"/>
          </w:tcPr>
          <w:p w:rsidR="00D15C5F" w:rsidRDefault="00D15C5F">
            <w:pPr>
              <w:pStyle w:val="ConsPlusNormal"/>
            </w:pPr>
          </w:p>
        </w:tc>
      </w:tr>
      <w:tr w:rsidR="00D15C5F">
        <w:tblPrEx>
          <w:tblBorders>
            <w:left w:val="none" w:sz="0" w:space="0" w:color="auto"/>
          </w:tblBorders>
        </w:tblPrEx>
        <w:tc>
          <w:tcPr>
            <w:tcW w:w="1984" w:type="dxa"/>
            <w:tcBorders>
              <w:left w:val="nil"/>
            </w:tcBorders>
          </w:tcPr>
          <w:p w:rsidR="00D15C5F" w:rsidRDefault="00D15C5F">
            <w:pPr>
              <w:pStyle w:val="ConsPlusNormal"/>
            </w:pPr>
            <w:r>
              <w:t>4. Контроль по подведомственности</w:t>
            </w:r>
          </w:p>
        </w:tc>
        <w:tc>
          <w:tcPr>
            <w:tcW w:w="1871" w:type="dxa"/>
          </w:tcPr>
          <w:p w:rsidR="00D15C5F" w:rsidRDefault="00D15C5F">
            <w:pPr>
              <w:pStyle w:val="ConsPlusNormal"/>
            </w:pPr>
          </w:p>
        </w:tc>
        <w:tc>
          <w:tcPr>
            <w:tcW w:w="3175" w:type="dxa"/>
          </w:tcPr>
          <w:p w:rsidR="00D15C5F" w:rsidRDefault="00D15C5F">
            <w:pPr>
              <w:pStyle w:val="ConsPlusNormal"/>
            </w:pPr>
          </w:p>
        </w:tc>
        <w:tc>
          <w:tcPr>
            <w:tcW w:w="1984" w:type="dxa"/>
          </w:tcPr>
          <w:p w:rsidR="00D15C5F" w:rsidRDefault="00D15C5F">
            <w:pPr>
              <w:pStyle w:val="ConsPlusNormal"/>
            </w:pPr>
          </w:p>
        </w:tc>
      </w:tr>
      <w:tr w:rsidR="00D15C5F">
        <w:tblPrEx>
          <w:tblBorders>
            <w:left w:val="none" w:sz="0" w:space="0" w:color="auto"/>
          </w:tblBorders>
        </w:tblPrEx>
        <w:tc>
          <w:tcPr>
            <w:tcW w:w="1984" w:type="dxa"/>
            <w:tcBorders>
              <w:left w:val="nil"/>
              <w:bottom w:val="nil"/>
            </w:tcBorders>
          </w:tcPr>
          <w:p w:rsidR="00D15C5F" w:rsidRDefault="00D15C5F">
            <w:pPr>
              <w:pStyle w:val="ConsPlusNormal"/>
              <w:jc w:val="right"/>
            </w:pPr>
            <w:r>
              <w:t>Итого</w:t>
            </w:r>
          </w:p>
        </w:tc>
        <w:tc>
          <w:tcPr>
            <w:tcW w:w="1871" w:type="dxa"/>
          </w:tcPr>
          <w:p w:rsidR="00D15C5F" w:rsidRDefault="00D15C5F">
            <w:pPr>
              <w:pStyle w:val="ConsPlusNormal"/>
            </w:pPr>
          </w:p>
        </w:tc>
        <w:tc>
          <w:tcPr>
            <w:tcW w:w="3175" w:type="dxa"/>
          </w:tcPr>
          <w:p w:rsidR="00D15C5F" w:rsidRDefault="00D15C5F">
            <w:pPr>
              <w:pStyle w:val="ConsPlusNormal"/>
            </w:pPr>
          </w:p>
        </w:tc>
        <w:tc>
          <w:tcPr>
            <w:tcW w:w="1984" w:type="dxa"/>
          </w:tcPr>
          <w:p w:rsidR="00D15C5F" w:rsidRDefault="00D15C5F">
            <w:pPr>
              <w:pStyle w:val="ConsPlusNormal"/>
            </w:pPr>
          </w:p>
        </w:tc>
      </w:tr>
    </w:tbl>
    <w:p w:rsidR="00D15C5F" w:rsidRDefault="00D15C5F">
      <w:pPr>
        <w:pStyle w:val="ConsPlusNormal"/>
        <w:jc w:val="both"/>
      </w:pPr>
    </w:p>
    <w:p w:rsidR="00D15C5F" w:rsidRDefault="00D15C5F">
      <w:pPr>
        <w:pStyle w:val="ConsPlusNonformat"/>
        <w:jc w:val="both"/>
      </w:pPr>
      <w:r>
        <w:t xml:space="preserve">Руководитель </w:t>
      </w:r>
      <w:proofErr w:type="gramStart"/>
      <w:r>
        <w:t>структурного</w:t>
      </w:r>
      <w:proofErr w:type="gramEnd"/>
      <w:r>
        <w:t xml:space="preserve">         _____________________ ___________________</w:t>
      </w:r>
    </w:p>
    <w:p w:rsidR="00D15C5F" w:rsidRDefault="00D15C5F">
      <w:pPr>
        <w:pStyle w:val="ConsPlusNonformat"/>
        <w:jc w:val="both"/>
      </w:pPr>
      <w:proofErr w:type="gramStart"/>
      <w:r>
        <w:t>подразделения                     (должность) (подпись)    (расшифровка</w:t>
      </w:r>
      <w:proofErr w:type="gramEnd"/>
    </w:p>
    <w:p w:rsidR="00D15C5F" w:rsidRDefault="00D15C5F">
      <w:pPr>
        <w:pStyle w:val="ConsPlusNonformat"/>
        <w:jc w:val="both"/>
      </w:pPr>
      <w:r>
        <w:t xml:space="preserve">                                                             подписи)</w:t>
      </w:r>
    </w:p>
    <w:p w:rsidR="00D15C5F" w:rsidRDefault="00D15C5F">
      <w:pPr>
        <w:pStyle w:val="ConsPlusNonformat"/>
        <w:jc w:val="both"/>
      </w:pPr>
      <w:r>
        <w:t>"__" ___________ 20__ г.</w:t>
      </w:r>
    </w:p>
    <w:p w:rsidR="00D15C5F" w:rsidRDefault="00D15C5F">
      <w:pPr>
        <w:pStyle w:val="ConsPlusNormal"/>
        <w:jc w:val="center"/>
      </w:pPr>
    </w:p>
    <w:p w:rsidR="00D15C5F" w:rsidRDefault="00D15C5F">
      <w:pPr>
        <w:pStyle w:val="ConsPlusNormal"/>
        <w:jc w:val="center"/>
      </w:pPr>
      <w:r>
        <w:t>Рекомендации</w:t>
      </w:r>
    </w:p>
    <w:p w:rsidR="00D15C5F" w:rsidRDefault="00D15C5F">
      <w:pPr>
        <w:pStyle w:val="ConsPlusNormal"/>
        <w:jc w:val="center"/>
      </w:pPr>
      <w:r>
        <w:t>по заполнению Отчета о результатах внутреннего</w:t>
      </w:r>
    </w:p>
    <w:p w:rsidR="00D15C5F" w:rsidRDefault="00D15C5F">
      <w:pPr>
        <w:pStyle w:val="ConsPlusNormal"/>
        <w:jc w:val="center"/>
      </w:pPr>
      <w:r>
        <w:t>финансового контроля</w:t>
      </w:r>
    </w:p>
    <w:p w:rsidR="00D15C5F" w:rsidRDefault="00D15C5F">
      <w:pPr>
        <w:pStyle w:val="ConsPlusNormal"/>
        <w:jc w:val="both"/>
      </w:pPr>
    </w:p>
    <w:p w:rsidR="00D15C5F" w:rsidRDefault="00D15C5F">
      <w:pPr>
        <w:pStyle w:val="ConsPlusNormal"/>
        <w:ind w:firstLine="540"/>
        <w:jc w:val="both"/>
      </w:pPr>
      <w:r>
        <w:t>1. В графе 2 Отчета о результатах внутреннего финансового контроля (далее - Отчет) указывается количество выявленных недостатков (нарушений).</w:t>
      </w:r>
    </w:p>
    <w:p w:rsidR="00D15C5F" w:rsidRDefault="00D15C5F">
      <w:pPr>
        <w:pStyle w:val="ConsPlusNormal"/>
        <w:spacing w:before="220"/>
        <w:ind w:firstLine="540"/>
        <w:jc w:val="both"/>
      </w:pPr>
      <w:r>
        <w:t>2. В графе 3 Отчета указывается количество предложенных мер по устранению недостатков (нарушений), причин их возникновения, заключений.</w:t>
      </w:r>
    </w:p>
    <w:p w:rsidR="00D15C5F" w:rsidRDefault="00D15C5F">
      <w:pPr>
        <w:pStyle w:val="ConsPlusNormal"/>
        <w:spacing w:before="220"/>
        <w:ind w:firstLine="540"/>
        <w:jc w:val="both"/>
      </w:pPr>
      <w:r>
        <w:t>3. В графе 4 Отчета указывается количество принятых мер и исполненных заключений.</w:t>
      </w:r>
    </w:p>
    <w:p w:rsidR="00D15C5F" w:rsidRDefault="00D15C5F">
      <w:pPr>
        <w:pStyle w:val="ConsPlusNormal"/>
        <w:jc w:val="both"/>
      </w:pPr>
    </w:p>
    <w:p w:rsidR="00D15C5F" w:rsidRDefault="00D15C5F">
      <w:pPr>
        <w:pStyle w:val="ConsPlusNormal"/>
        <w:jc w:val="both"/>
      </w:pPr>
    </w:p>
    <w:p w:rsidR="00D15C5F" w:rsidRDefault="00D15C5F">
      <w:pPr>
        <w:pStyle w:val="ConsPlusNormal"/>
        <w:jc w:val="both"/>
      </w:pPr>
    </w:p>
    <w:p w:rsidR="00D15C5F" w:rsidRDefault="00D15C5F">
      <w:pPr>
        <w:pStyle w:val="ConsPlusNonformat"/>
        <w:jc w:val="both"/>
      </w:pPr>
      <w:r>
        <w:t xml:space="preserve">                           ПОЯСНИТЕЛЬНАЯ ЗАПИСКА</w:t>
      </w:r>
    </w:p>
    <w:p w:rsidR="00D15C5F" w:rsidRDefault="00D15C5F">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12"/>
        <w:gridCol w:w="3240"/>
        <w:gridCol w:w="1020"/>
        <w:gridCol w:w="907"/>
      </w:tblGrid>
      <w:tr w:rsidR="00D15C5F">
        <w:tc>
          <w:tcPr>
            <w:tcW w:w="7152" w:type="dxa"/>
            <w:gridSpan w:val="2"/>
            <w:tcBorders>
              <w:top w:val="nil"/>
              <w:left w:val="nil"/>
              <w:bottom w:val="nil"/>
              <w:right w:val="nil"/>
            </w:tcBorders>
          </w:tcPr>
          <w:p w:rsidR="00D15C5F" w:rsidRDefault="00D15C5F">
            <w:pPr>
              <w:pStyle w:val="ConsPlusNormal"/>
            </w:pPr>
          </w:p>
        </w:tc>
        <w:tc>
          <w:tcPr>
            <w:tcW w:w="1020" w:type="dxa"/>
            <w:tcBorders>
              <w:top w:val="nil"/>
              <w:left w:val="nil"/>
              <w:bottom w:val="nil"/>
              <w:right w:val="single" w:sz="4" w:space="0" w:color="auto"/>
            </w:tcBorders>
          </w:tcPr>
          <w:p w:rsidR="00D15C5F" w:rsidRDefault="00D15C5F">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D15C5F" w:rsidRDefault="00D15C5F">
            <w:pPr>
              <w:pStyle w:val="ConsPlusNormal"/>
              <w:jc w:val="center"/>
            </w:pPr>
            <w:r>
              <w:t>Коды</w:t>
            </w:r>
          </w:p>
        </w:tc>
      </w:tr>
      <w:tr w:rsidR="00D15C5F">
        <w:tc>
          <w:tcPr>
            <w:tcW w:w="3912" w:type="dxa"/>
            <w:tcBorders>
              <w:top w:val="nil"/>
              <w:left w:val="nil"/>
              <w:bottom w:val="nil"/>
              <w:right w:val="nil"/>
            </w:tcBorders>
          </w:tcPr>
          <w:p w:rsidR="00D15C5F" w:rsidRDefault="00D15C5F">
            <w:pPr>
              <w:pStyle w:val="ConsPlusNormal"/>
            </w:pPr>
          </w:p>
        </w:tc>
        <w:tc>
          <w:tcPr>
            <w:tcW w:w="3240" w:type="dxa"/>
            <w:tcBorders>
              <w:top w:val="nil"/>
              <w:left w:val="nil"/>
              <w:bottom w:val="nil"/>
              <w:right w:val="nil"/>
            </w:tcBorders>
            <w:vAlign w:val="bottom"/>
          </w:tcPr>
          <w:p w:rsidR="00D15C5F" w:rsidRDefault="00D15C5F">
            <w:pPr>
              <w:pStyle w:val="ConsPlusNormal"/>
              <w:jc w:val="center"/>
            </w:pPr>
            <w:r>
              <w:t xml:space="preserve">на _______________ </w:t>
            </w:r>
            <w:proofErr w:type="gramStart"/>
            <w:r>
              <w:t>г</w:t>
            </w:r>
            <w:proofErr w:type="gramEnd"/>
            <w:r>
              <w:t>.</w:t>
            </w:r>
          </w:p>
        </w:tc>
        <w:tc>
          <w:tcPr>
            <w:tcW w:w="1020" w:type="dxa"/>
            <w:tcBorders>
              <w:top w:val="nil"/>
              <w:left w:val="nil"/>
              <w:bottom w:val="nil"/>
              <w:right w:val="single" w:sz="4" w:space="0" w:color="auto"/>
            </w:tcBorders>
          </w:tcPr>
          <w:p w:rsidR="00D15C5F" w:rsidRDefault="00D15C5F">
            <w:pPr>
              <w:pStyle w:val="ConsPlusNormal"/>
              <w:jc w:val="center"/>
            </w:pPr>
            <w:r>
              <w:t>Дата</w:t>
            </w:r>
          </w:p>
        </w:tc>
        <w:tc>
          <w:tcPr>
            <w:tcW w:w="907" w:type="dxa"/>
            <w:tcBorders>
              <w:top w:val="single" w:sz="4" w:space="0" w:color="auto"/>
              <w:left w:val="single" w:sz="4" w:space="0" w:color="auto"/>
              <w:bottom w:val="single" w:sz="4" w:space="0" w:color="auto"/>
              <w:right w:val="single" w:sz="4" w:space="0" w:color="auto"/>
            </w:tcBorders>
          </w:tcPr>
          <w:p w:rsidR="00D15C5F" w:rsidRDefault="00D15C5F">
            <w:pPr>
              <w:pStyle w:val="ConsPlusNormal"/>
            </w:pPr>
          </w:p>
        </w:tc>
      </w:tr>
      <w:tr w:rsidR="00D15C5F">
        <w:tc>
          <w:tcPr>
            <w:tcW w:w="3912" w:type="dxa"/>
            <w:vMerge w:val="restart"/>
            <w:tcBorders>
              <w:top w:val="nil"/>
              <w:left w:val="nil"/>
              <w:bottom w:val="nil"/>
              <w:right w:val="nil"/>
            </w:tcBorders>
          </w:tcPr>
          <w:p w:rsidR="00D15C5F" w:rsidRDefault="00D15C5F">
            <w:pPr>
              <w:pStyle w:val="ConsPlusNormal"/>
            </w:pPr>
            <w:r>
              <w:t>Главный распорядитель, распорядитель, получатель бюджетных средств, главный администратор, администратор доходов бюджета, главный администратор, администратор источников финансирования дефицита бюджета</w:t>
            </w:r>
          </w:p>
        </w:tc>
        <w:tc>
          <w:tcPr>
            <w:tcW w:w="3240" w:type="dxa"/>
            <w:tcBorders>
              <w:top w:val="nil"/>
              <w:left w:val="nil"/>
              <w:bottom w:val="nil"/>
              <w:right w:val="nil"/>
            </w:tcBorders>
          </w:tcPr>
          <w:p w:rsidR="00D15C5F" w:rsidRDefault="00D15C5F">
            <w:pPr>
              <w:pStyle w:val="ConsPlusNormal"/>
            </w:pPr>
          </w:p>
        </w:tc>
        <w:tc>
          <w:tcPr>
            <w:tcW w:w="1020" w:type="dxa"/>
            <w:tcBorders>
              <w:top w:val="nil"/>
              <w:left w:val="nil"/>
              <w:bottom w:val="nil"/>
              <w:right w:val="single" w:sz="4" w:space="0" w:color="auto"/>
            </w:tcBorders>
          </w:tcPr>
          <w:p w:rsidR="00D15C5F" w:rsidRDefault="00D15C5F">
            <w:pPr>
              <w:pStyle w:val="ConsPlusNormal"/>
              <w:jc w:val="center"/>
            </w:pPr>
            <w:r>
              <w:t>по ОКПО</w:t>
            </w:r>
          </w:p>
        </w:tc>
        <w:tc>
          <w:tcPr>
            <w:tcW w:w="907" w:type="dxa"/>
            <w:tcBorders>
              <w:top w:val="single" w:sz="4" w:space="0" w:color="auto"/>
              <w:left w:val="single" w:sz="4" w:space="0" w:color="auto"/>
              <w:bottom w:val="single" w:sz="4" w:space="0" w:color="auto"/>
              <w:right w:val="single" w:sz="4" w:space="0" w:color="auto"/>
            </w:tcBorders>
          </w:tcPr>
          <w:p w:rsidR="00D15C5F" w:rsidRDefault="00D15C5F">
            <w:pPr>
              <w:pStyle w:val="ConsPlusNormal"/>
            </w:pPr>
          </w:p>
        </w:tc>
      </w:tr>
      <w:tr w:rsidR="00D15C5F">
        <w:tc>
          <w:tcPr>
            <w:tcW w:w="3912" w:type="dxa"/>
            <w:vMerge/>
            <w:tcBorders>
              <w:top w:val="nil"/>
              <w:left w:val="nil"/>
              <w:bottom w:val="nil"/>
              <w:right w:val="nil"/>
            </w:tcBorders>
          </w:tcPr>
          <w:p w:rsidR="00D15C5F" w:rsidRDefault="00D15C5F"/>
        </w:tc>
        <w:tc>
          <w:tcPr>
            <w:tcW w:w="3240" w:type="dxa"/>
            <w:tcBorders>
              <w:top w:val="nil"/>
              <w:left w:val="nil"/>
              <w:bottom w:val="nil"/>
              <w:right w:val="nil"/>
            </w:tcBorders>
            <w:vAlign w:val="bottom"/>
          </w:tcPr>
          <w:p w:rsidR="00D15C5F" w:rsidRDefault="00D15C5F">
            <w:pPr>
              <w:pStyle w:val="ConsPlusNormal"/>
            </w:pPr>
            <w:r>
              <w:t>_________________________</w:t>
            </w:r>
          </w:p>
        </w:tc>
        <w:tc>
          <w:tcPr>
            <w:tcW w:w="1020" w:type="dxa"/>
            <w:tcBorders>
              <w:top w:val="nil"/>
              <w:left w:val="nil"/>
              <w:bottom w:val="nil"/>
              <w:right w:val="single" w:sz="4" w:space="0" w:color="auto"/>
            </w:tcBorders>
          </w:tcPr>
          <w:p w:rsidR="00D15C5F" w:rsidRDefault="00D15C5F">
            <w:pPr>
              <w:pStyle w:val="ConsPlusNormal"/>
              <w:jc w:val="center"/>
            </w:pPr>
            <w:r>
              <w:t>Глава по БК</w:t>
            </w:r>
          </w:p>
        </w:tc>
        <w:tc>
          <w:tcPr>
            <w:tcW w:w="907" w:type="dxa"/>
            <w:tcBorders>
              <w:top w:val="single" w:sz="4" w:space="0" w:color="auto"/>
              <w:left w:val="single" w:sz="4" w:space="0" w:color="auto"/>
              <w:bottom w:val="single" w:sz="4" w:space="0" w:color="auto"/>
              <w:right w:val="single" w:sz="4" w:space="0" w:color="auto"/>
            </w:tcBorders>
          </w:tcPr>
          <w:p w:rsidR="00D15C5F" w:rsidRDefault="00D15C5F">
            <w:pPr>
              <w:pStyle w:val="ConsPlusNormal"/>
            </w:pPr>
          </w:p>
        </w:tc>
      </w:tr>
      <w:tr w:rsidR="00D15C5F">
        <w:tc>
          <w:tcPr>
            <w:tcW w:w="3912" w:type="dxa"/>
            <w:tcBorders>
              <w:top w:val="nil"/>
              <w:left w:val="nil"/>
              <w:bottom w:val="nil"/>
              <w:right w:val="nil"/>
            </w:tcBorders>
            <w:vAlign w:val="bottom"/>
          </w:tcPr>
          <w:p w:rsidR="00D15C5F" w:rsidRDefault="00D15C5F">
            <w:pPr>
              <w:pStyle w:val="ConsPlusNormal"/>
            </w:pPr>
            <w:r>
              <w:t>Наименование бюджета (публично-правового образования)</w:t>
            </w:r>
          </w:p>
        </w:tc>
        <w:tc>
          <w:tcPr>
            <w:tcW w:w="3240" w:type="dxa"/>
            <w:tcBorders>
              <w:top w:val="nil"/>
              <w:left w:val="nil"/>
              <w:bottom w:val="nil"/>
              <w:right w:val="nil"/>
            </w:tcBorders>
            <w:vAlign w:val="bottom"/>
          </w:tcPr>
          <w:p w:rsidR="00D15C5F" w:rsidRDefault="00D15C5F">
            <w:pPr>
              <w:pStyle w:val="ConsPlusNormal"/>
            </w:pPr>
            <w:r>
              <w:t>_________________________</w:t>
            </w:r>
          </w:p>
        </w:tc>
        <w:tc>
          <w:tcPr>
            <w:tcW w:w="1020" w:type="dxa"/>
            <w:tcBorders>
              <w:top w:val="nil"/>
              <w:left w:val="nil"/>
              <w:bottom w:val="nil"/>
              <w:right w:val="single" w:sz="4" w:space="0" w:color="auto"/>
            </w:tcBorders>
          </w:tcPr>
          <w:p w:rsidR="00D15C5F" w:rsidRDefault="00D15C5F">
            <w:pPr>
              <w:pStyle w:val="ConsPlusNormal"/>
              <w:jc w:val="center"/>
            </w:pPr>
            <w:r>
              <w:t xml:space="preserve">по </w:t>
            </w:r>
            <w:hyperlink r:id="rId16" w:history="1">
              <w:r>
                <w:rPr>
                  <w:color w:val="0000FF"/>
                </w:rPr>
                <w:t>ОКТМО</w:t>
              </w:r>
            </w:hyperlink>
          </w:p>
        </w:tc>
        <w:tc>
          <w:tcPr>
            <w:tcW w:w="907" w:type="dxa"/>
            <w:tcBorders>
              <w:top w:val="single" w:sz="4" w:space="0" w:color="auto"/>
              <w:left w:val="single" w:sz="4" w:space="0" w:color="auto"/>
              <w:bottom w:val="single" w:sz="4" w:space="0" w:color="auto"/>
              <w:right w:val="single" w:sz="4" w:space="0" w:color="auto"/>
            </w:tcBorders>
          </w:tcPr>
          <w:p w:rsidR="00D15C5F" w:rsidRDefault="00D15C5F">
            <w:pPr>
              <w:pStyle w:val="ConsPlusNormal"/>
            </w:pPr>
          </w:p>
        </w:tc>
      </w:tr>
      <w:tr w:rsidR="00D15C5F">
        <w:tc>
          <w:tcPr>
            <w:tcW w:w="3912" w:type="dxa"/>
            <w:tcBorders>
              <w:top w:val="nil"/>
              <w:left w:val="nil"/>
              <w:bottom w:val="nil"/>
              <w:right w:val="nil"/>
            </w:tcBorders>
            <w:vAlign w:val="bottom"/>
          </w:tcPr>
          <w:p w:rsidR="00D15C5F" w:rsidRDefault="00D15C5F">
            <w:pPr>
              <w:pStyle w:val="ConsPlusNormal"/>
            </w:pPr>
            <w:r>
              <w:t>Периодичность:</w:t>
            </w:r>
          </w:p>
        </w:tc>
        <w:tc>
          <w:tcPr>
            <w:tcW w:w="3240" w:type="dxa"/>
            <w:tcBorders>
              <w:top w:val="nil"/>
              <w:left w:val="nil"/>
              <w:bottom w:val="nil"/>
              <w:right w:val="nil"/>
            </w:tcBorders>
          </w:tcPr>
          <w:p w:rsidR="00D15C5F" w:rsidRDefault="00D15C5F">
            <w:pPr>
              <w:pStyle w:val="ConsPlusNormal"/>
            </w:pPr>
          </w:p>
        </w:tc>
        <w:tc>
          <w:tcPr>
            <w:tcW w:w="1020" w:type="dxa"/>
            <w:tcBorders>
              <w:top w:val="nil"/>
              <w:left w:val="nil"/>
              <w:bottom w:val="nil"/>
              <w:right w:val="single" w:sz="4" w:space="0" w:color="auto"/>
            </w:tcBorders>
          </w:tcPr>
          <w:p w:rsidR="00D15C5F" w:rsidRDefault="00D15C5F">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D15C5F" w:rsidRDefault="00D15C5F">
            <w:pPr>
              <w:pStyle w:val="ConsPlusNormal"/>
            </w:pPr>
          </w:p>
        </w:tc>
      </w:tr>
      <w:tr w:rsidR="00D15C5F">
        <w:tc>
          <w:tcPr>
            <w:tcW w:w="3912" w:type="dxa"/>
            <w:tcBorders>
              <w:top w:val="nil"/>
              <w:left w:val="nil"/>
              <w:bottom w:val="nil"/>
              <w:right w:val="nil"/>
            </w:tcBorders>
          </w:tcPr>
          <w:p w:rsidR="00D15C5F" w:rsidRDefault="00D15C5F">
            <w:pPr>
              <w:pStyle w:val="ConsPlusNormal"/>
            </w:pPr>
            <w:r>
              <w:t>Единица измерения:</w:t>
            </w:r>
          </w:p>
        </w:tc>
        <w:tc>
          <w:tcPr>
            <w:tcW w:w="3240" w:type="dxa"/>
            <w:tcBorders>
              <w:top w:val="nil"/>
              <w:left w:val="nil"/>
              <w:bottom w:val="nil"/>
              <w:right w:val="nil"/>
            </w:tcBorders>
          </w:tcPr>
          <w:p w:rsidR="00D15C5F" w:rsidRDefault="00D15C5F">
            <w:pPr>
              <w:pStyle w:val="ConsPlusNormal"/>
              <w:jc w:val="center"/>
            </w:pPr>
            <w:r>
              <w:t>руб.</w:t>
            </w:r>
          </w:p>
        </w:tc>
        <w:tc>
          <w:tcPr>
            <w:tcW w:w="1020" w:type="dxa"/>
            <w:tcBorders>
              <w:top w:val="nil"/>
              <w:left w:val="nil"/>
              <w:bottom w:val="nil"/>
              <w:right w:val="single" w:sz="4" w:space="0" w:color="auto"/>
            </w:tcBorders>
          </w:tcPr>
          <w:p w:rsidR="00D15C5F" w:rsidRDefault="00D15C5F">
            <w:pPr>
              <w:pStyle w:val="ConsPlusNormal"/>
              <w:jc w:val="center"/>
            </w:pPr>
            <w:r>
              <w:t>по ОКЕИ</w:t>
            </w:r>
          </w:p>
        </w:tc>
        <w:tc>
          <w:tcPr>
            <w:tcW w:w="907" w:type="dxa"/>
            <w:tcBorders>
              <w:top w:val="single" w:sz="4" w:space="0" w:color="auto"/>
              <w:left w:val="single" w:sz="4" w:space="0" w:color="auto"/>
              <w:bottom w:val="single" w:sz="4" w:space="0" w:color="auto"/>
              <w:right w:val="single" w:sz="4" w:space="0" w:color="auto"/>
            </w:tcBorders>
          </w:tcPr>
          <w:p w:rsidR="00D15C5F" w:rsidRDefault="00D15C5F">
            <w:pPr>
              <w:pStyle w:val="ConsPlusNormal"/>
              <w:jc w:val="center"/>
            </w:pPr>
            <w:hyperlink r:id="rId17" w:history="1">
              <w:r>
                <w:rPr>
                  <w:color w:val="0000FF"/>
                </w:rPr>
                <w:t>383</w:t>
              </w:r>
            </w:hyperlink>
          </w:p>
        </w:tc>
      </w:tr>
    </w:tbl>
    <w:p w:rsidR="00D15C5F" w:rsidRDefault="00D15C5F">
      <w:pPr>
        <w:pStyle w:val="ConsPlusNormal"/>
        <w:jc w:val="both"/>
      </w:pPr>
    </w:p>
    <w:p w:rsidR="00D15C5F" w:rsidRDefault="00D15C5F">
      <w:pPr>
        <w:pStyle w:val="ConsPlusNonformat"/>
        <w:jc w:val="both"/>
      </w:pPr>
      <w:r>
        <w:t>___________________________________________________________________________</w:t>
      </w:r>
    </w:p>
    <w:p w:rsidR="00D15C5F" w:rsidRDefault="00D15C5F">
      <w:pPr>
        <w:pStyle w:val="ConsPlusNonformat"/>
        <w:jc w:val="both"/>
      </w:pPr>
      <w:r>
        <w:t>___________________________________________________________________________</w:t>
      </w:r>
    </w:p>
    <w:p w:rsidR="00D15C5F" w:rsidRDefault="00D15C5F">
      <w:pPr>
        <w:pStyle w:val="ConsPlusNonformat"/>
        <w:jc w:val="both"/>
      </w:pPr>
      <w:r>
        <w:t>___________________________________________________________________________</w:t>
      </w:r>
    </w:p>
    <w:p w:rsidR="00D15C5F" w:rsidRDefault="00D15C5F">
      <w:pPr>
        <w:pStyle w:val="ConsPlusNonformat"/>
        <w:jc w:val="both"/>
      </w:pPr>
      <w:r>
        <w:t>___________________________________________________________________________</w:t>
      </w:r>
    </w:p>
    <w:p w:rsidR="00D15C5F" w:rsidRDefault="00D15C5F">
      <w:pPr>
        <w:pStyle w:val="ConsPlusNonformat"/>
        <w:jc w:val="both"/>
      </w:pPr>
      <w:r>
        <w:t>___________________________________________________________________________</w:t>
      </w:r>
    </w:p>
    <w:p w:rsidR="00D15C5F" w:rsidRDefault="00D15C5F">
      <w:pPr>
        <w:pStyle w:val="ConsPlusNonformat"/>
        <w:jc w:val="both"/>
      </w:pPr>
    </w:p>
    <w:p w:rsidR="00D15C5F" w:rsidRDefault="00D15C5F">
      <w:pPr>
        <w:pStyle w:val="ConsPlusNonformat"/>
        <w:jc w:val="both"/>
      </w:pPr>
      <w:r>
        <w:t xml:space="preserve">Руководитель </w:t>
      </w:r>
      <w:proofErr w:type="gramStart"/>
      <w:r>
        <w:t>структурного</w:t>
      </w:r>
      <w:proofErr w:type="gramEnd"/>
      <w:r>
        <w:t xml:space="preserve">         ___________ _________ ___________________</w:t>
      </w:r>
    </w:p>
    <w:p w:rsidR="00D15C5F" w:rsidRDefault="00D15C5F">
      <w:pPr>
        <w:pStyle w:val="ConsPlusNonformat"/>
        <w:jc w:val="both"/>
      </w:pPr>
      <w:proofErr w:type="gramStart"/>
      <w:r>
        <w:t>подразделения                     (должность) (подпись)    (расшифровка</w:t>
      </w:r>
      <w:proofErr w:type="gramEnd"/>
    </w:p>
    <w:p w:rsidR="00D15C5F" w:rsidRDefault="00D15C5F">
      <w:pPr>
        <w:pStyle w:val="ConsPlusNonformat"/>
        <w:jc w:val="both"/>
      </w:pPr>
      <w:r>
        <w:t xml:space="preserve">                                                             подписи)</w:t>
      </w:r>
    </w:p>
    <w:p w:rsidR="00D15C5F" w:rsidRDefault="00D15C5F">
      <w:pPr>
        <w:pStyle w:val="ConsPlusNonformat"/>
        <w:jc w:val="both"/>
      </w:pPr>
    </w:p>
    <w:p w:rsidR="00D15C5F" w:rsidRDefault="00D15C5F">
      <w:pPr>
        <w:pStyle w:val="ConsPlusNonformat"/>
        <w:jc w:val="both"/>
      </w:pPr>
      <w:r>
        <w:t>"__" ___________ 20__ г."</w:t>
      </w:r>
    </w:p>
    <w:p w:rsidR="00D15C5F" w:rsidRDefault="00D15C5F">
      <w:pPr>
        <w:pStyle w:val="ConsPlusNormal"/>
        <w:jc w:val="both"/>
      </w:pPr>
    </w:p>
    <w:p w:rsidR="00D15C5F" w:rsidRDefault="00D15C5F">
      <w:pPr>
        <w:pStyle w:val="ConsPlusNormal"/>
        <w:jc w:val="both"/>
      </w:pPr>
    </w:p>
    <w:p w:rsidR="00D15C5F" w:rsidRDefault="00D15C5F">
      <w:pPr>
        <w:pStyle w:val="ConsPlusNormal"/>
        <w:pBdr>
          <w:top w:val="single" w:sz="6" w:space="0" w:color="auto"/>
        </w:pBdr>
        <w:spacing w:before="100" w:after="100"/>
        <w:jc w:val="both"/>
        <w:rPr>
          <w:sz w:val="2"/>
          <w:szCs w:val="2"/>
        </w:rPr>
      </w:pPr>
    </w:p>
    <w:p w:rsidR="00A84672" w:rsidRDefault="00A84672">
      <w:bookmarkStart w:id="1" w:name="_GoBack"/>
      <w:bookmarkEnd w:id="1"/>
    </w:p>
    <w:sectPr w:rsidR="00A84672" w:rsidSect="001B6F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C5F"/>
    <w:rsid w:val="00A84672"/>
    <w:rsid w:val="00D15C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15C5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15C5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15C5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15C5F"/>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15C5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15C5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15C5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15C5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9BF8B6811C500725C2FDCFC11DD5960CBD37B877A9BC25C3B8BA684D4E5CEEABB82129044269507K333N" TargetMode="External"/><Relationship Id="rId13" Type="http://schemas.openxmlformats.org/officeDocument/2006/relationships/hyperlink" Target="consultantplus://offline/ref=E9BF8B6811C500725C2FDCFC11DD5960CBD37B877A9BC25C3B8BA684D4E5CEEABB82129044269403K334N"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E9BF8B6811C500725C2FDCFC11DD5960CBD37B877A9BC25C3B8BA684D4E5CEEABB82129044269502K33BN" TargetMode="External"/><Relationship Id="rId12" Type="http://schemas.openxmlformats.org/officeDocument/2006/relationships/hyperlink" Target="consultantplus://offline/ref=E9BF8B6811C500725C2FDCFC11DD5960CBD37B877A9BC25C3B8BA684D4E5CEEABB82129044269402K336N" TargetMode="External"/><Relationship Id="rId17" Type="http://schemas.openxmlformats.org/officeDocument/2006/relationships/hyperlink" Target="consultantplus://offline/ref=E9BF8B6811C500725C2FDCFC11DD5960CBDB7683779AC25C3B8BA684D4E5CEEABB82129044279C03K334N" TargetMode="External"/><Relationship Id="rId2" Type="http://schemas.microsoft.com/office/2007/relationships/stylesWithEffects" Target="stylesWithEffects.xml"/><Relationship Id="rId16" Type="http://schemas.openxmlformats.org/officeDocument/2006/relationships/hyperlink" Target="consultantplus://offline/ref=E9BF8B6811C500725C2FDCFC11DD5960C8D7768B729EC25C3B8BA684D4KE35N" TargetMode="External"/><Relationship Id="rId1" Type="http://schemas.openxmlformats.org/officeDocument/2006/relationships/styles" Target="styles.xml"/><Relationship Id="rId6" Type="http://schemas.openxmlformats.org/officeDocument/2006/relationships/hyperlink" Target="consultantplus://offline/ref=E9BF8B6811C500725C2FDCFC11DD5960CBD17F877296C25C3B8BA684D4E5CEEABB82129044259306K334N" TargetMode="External"/><Relationship Id="rId11" Type="http://schemas.openxmlformats.org/officeDocument/2006/relationships/hyperlink" Target="consultantplus://offline/ref=E9BF8B6811C500725C2FDCFC11DD5960CBD37B877A9BC25C3B8BA684D4E5CEEABB8212904426950BK33BN"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E9BF8B6811C500725C2FDCFC11DD5960C8D7768B729EC25C3B8BA684D4KE35N" TargetMode="External"/><Relationship Id="rId10" Type="http://schemas.openxmlformats.org/officeDocument/2006/relationships/hyperlink" Target="consultantplus://offline/ref=E9BF8B6811C500725C2FDCFC11DD5960CBD37B877A9BC25C3B8BA684D4E5CEEABB82129044269505K336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E9BF8B6811C500725C2FDCFC11DD5960CBD37B877A9BC25C3B8BA684D4E5CEEABB82129044269504K33AN" TargetMode="External"/><Relationship Id="rId14" Type="http://schemas.openxmlformats.org/officeDocument/2006/relationships/hyperlink" Target="consultantplus://offline/ref=E9BF8B6811C500725C2FDCFC11DD5960CBD37B877A9BC25C3B8BA684D4E5CEEABB82129044269300K332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1876</Words>
  <Characters>10695</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АПЛЕТАЕВА ВАЛЕРИЯ ВАДИМОВНА</dc:creator>
  <cp:lastModifiedBy>АПЛЕТАЕВА ВАЛЕРИЯ ВАДИМОВНА</cp:lastModifiedBy>
  <cp:revision>1</cp:revision>
  <dcterms:created xsi:type="dcterms:W3CDTF">2018-03-22T13:55:00Z</dcterms:created>
  <dcterms:modified xsi:type="dcterms:W3CDTF">2018-03-22T13:56:00Z</dcterms:modified>
</cp:coreProperties>
</file>